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7"/>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87"/>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987"/>
        <w:ind w:firstLine="0"/>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987"/>
        <w:ind w:firstLine="0"/>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8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987"/>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JSZC-320200-XWJC-G2026-0037</w:t>
      </w:r>
      <w:r/>
    </w:p>
    <w:p>
      <w:pPr>
        <w:ind w:left="3515" w:hanging="160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无锡市人民医院彩色多普勒超声诊断仪（心超）项目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无锡市人民医院</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pStyle w:val="98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8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87"/>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987"/>
        <w:ind w:firstLine="0"/>
        <w:jc w:val="center"/>
        <w:spacing w:before="0" w:after="0"/>
        <w:rPr>
          <w:rFonts w:hint="eastAsia"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采购代理机构：无锡市卫生健康综合服务中心</w:t>
      </w:r>
      <w:r/>
    </w:p>
    <w:p>
      <w:pPr>
        <w:pStyle w:val="987"/>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月</w:t>
      </w:r>
      <w:r/>
    </w:p>
    <w:p>
      <w:pPr>
        <w:pStyle w:val="987"/>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20823272"/>
      <w:r/>
      <w:bookmarkStart w:id="2" w:name="_Toc16938516"/>
      <w:r/>
      <w:bookmarkStart w:id="3" w:name="_Toc513029200"/>
      <w:r/>
      <w:bookmarkStart w:id="4" w:name="_Toc479757206"/>
      <w:r/>
      <w:bookmarkStart w:id="5" w:name="_Toc523127445"/>
      <w:r>
        <w:rPr>
          <w:rFonts w:hint="eastAsia" w:ascii="黑体" w:hAnsi="华文中宋" w:eastAsia="黑体"/>
          <w:bCs/>
          <w:color w:val="auto"/>
          <w:sz w:val="44"/>
          <w:szCs w:val="44"/>
          <w:highlight w:val="none"/>
        </w:rPr>
        <w:t xml:space="preserve"> </w:t>
      </w:r>
      <w:r>
        <w:rPr>
          <w:rFonts w:hint="eastAsia" w:ascii="黑体" w:hAnsi="黑体" w:eastAsia="黑体"/>
          <w:color w:val="auto"/>
          <w:sz w:val="36"/>
          <w:szCs w:val="36"/>
          <w:highlight w:val="none"/>
        </w:rPr>
        <w:t xml:space="preserve"> 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投标邀请----------------------------------（4）</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投标人须知--------------------------------（8）</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采购需求---------------------------------（27）</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评标方法与评标标准-----------------------（34）</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投标文件内容与格式-----------------------（40）</w:t>
      </w:r>
      <w:r/>
    </w:p>
    <w:p>
      <w:pPr>
        <w:jc w:val="center"/>
        <w:spacing w:line="500" w:lineRule="exact"/>
        <w:tabs>
          <w:tab w:val="left" w:pos="1440" w:leader="none"/>
        </w:tabs>
        <w:rPr>
          <w:rFonts w:ascii="黑体" w:hAnsi="Showcard Gothic" w:eastAsia="黑体"/>
          <w:color w:val="auto"/>
          <w:sz w:val="30"/>
          <w:szCs w:val="30"/>
          <w:highlight w:val="none"/>
        </w:rPr>
        <w:outlineLvl w:val="0"/>
      </w:pPr>
      <w:r>
        <w:rPr>
          <w:rFonts w:ascii="黑体" w:hAnsi="Showcard Gothic" w:eastAsia="黑体"/>
          <w:color w:val="auto"/>
          <w:sz w:val="30"/>
          <w:szCs w:val="30"/>
          <w:highlight w:val="none"/>
        </w:rPr>
        <w:br w:type="page" w:clear="all"/>
      </w:r>
      <w:r/>
    </w:p>
    <w:p>
      <w:pPr>
        <w:pStyle w:val="756"/>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auto"/>
          <w:sz w:val="36"/>
          <w:szCs w:val="36"/>
          <w:highlight w:val="none"/>
          <w:shd w:val="clear" w:color="auto" w:fill="ffffff"/>
        </w:rPr>
      </w:pP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6"/>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1"/>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1"/>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一、串标情形</w:t>
      </w:r>
      <w:r/>
    </w:p>
    <w:p>
      <w:pPr>
        <w:pStyle w:val="756"/>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6"/>
        <w:ind w:firstLine="560"/>
        <w:spacing w:before="0" w:beforeAutospacing="0" w:after="0" w:afterAutospacing="0" w:line="560" w:lineRule="exact"/>
        <w:shd w:val="clear" w:color="auto" w:fill="ffffff"/>
        <w:rPr>
          <w:rFonts w:hint="eastAsia"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6"/>
        <w:ind w:firstLine="560"/>
        <w:spacing w:before="0" w:beforeAutospacing="0" w:after="0" w:afterAutospacing="0" w:line="560" w:lineRule="exact"/>
        <w:shd w:val="clear" w:color="auto" w:fill="ffffff"/>
        <w:tabs>
          <w:tab w:val="left" w:pos="8751" w:leader="none"/>
        </w:tabs>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rPr>
          <w:color w:val="auto"/>
          <w:highlight w:val="none"/>
        </w:rPr>
        <w:tab/>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6"/>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1"/>
        <w:ind w:firstLine="560"/>
        <w:spacing w:line="560" w:lineRule="exact"/>
        <w:rPr>
          <w:rFonts w:hint="eastAsia" w:ascii="方正黑体_GBK" w:hAnsi="方正黑体_GBK" w:eastAsia="方正黑体_GBK" w:cs="方正黑体_GBK"/>
          <w:color w:val="auto"/>
          <w:highlight w:val="none"/>
          <w:shd w:val="clear" w:color="auto" w:fill="ffffff"/>
        </w:rPr>
      </w:pPr>
      <w:r>
        <w:rPr>
          <w:rFonts w:hint="eastAsia" w:ascii="方正黑体_GBK" w:hAnsi="方正黑体_GBK" w:eastAsia="方正黑体_GBK" w:cs="方正黑体_GBK"/>
          <w:color w:val="auto"/>
          <w:highlight w:val="none"/>
          <w:shd w:val="clear" w:color="auto" w:fill="ffffff"/>
        </w:rPr>
        <w:t xml:space="preserve">二、后果 </w:t>
      </w:r>
      <w:r/>
    </w:p>
    <w:p>
      <w:pPr>
        <w:pStyle w:val="731"/>
        <w:ind w:firstLine="560"/>
        <w:spacing w:line="5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shd w:val="clear" w:color="auto" w:fill="ffffff"/>
        </w:rPr>
        <w:t xml:space="preserve">按照《</w:t>
      </w:r>
      <w:r>
        <w:rPr>
          <w:rFonts w:hint="eastAsia" w:ascii="方正仿宋_GB2312" w:hAnsi="方正仿宋_GB2312" w:eastAsia="方正仿宋_GB2312" w:cs="方正仿宋_GB2312"/>
          <w:color w:val="auto"/>
          <w:highlight w:val="none"/>
          <w:shd w:val="clear" w:color="auto" w:fill="ffffff"/>
          <w:lang w:eastAsia="zh-CN"/>
        </w:rPr>
        <w:t xml:space="preserve">中华人民共和国政府采购法</w:t>
      </w:r>
      <w:r>
        <w:rPr>
          <w:rFonts w:hint="eastAsia" w:ascii="方正仿宋_GB2312" w:hAnsi="方正仿宋_GB2312" w:eastAsia="方正仿宋_GB2312" w:cs="方正仿宋_GB2312"/>
          <w:color w:val="auto"/>
          <w:highlight w:val="none"/>
          <w:shd w:val="clear" w:color="auto" w:fill="ffffff"/>
        </w:rPr>
        <w:t xml:space="preserve">》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6"/>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6"/>
        <w:ind w:firstLine="560"/>
        <w:spacing w:before="0" w:beforeAutospacing="0" w:after="0" w:afterAutospacing="0" w:line="560" w:lineRule="exact"/>
        <w:shd w:val="clear" w:color="auto" w:fill="ffffff"/>
        <w:rPr>
          <w:rFonts w:hint="eastAsia"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pStyle w:val="801"/>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无锡市人民医院</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u w:val="single"/>
          <w:lang w:eastAsia="zh-CN"/>
        </w:rPr>
        <w:t xml:space="preserve">无锡市人民医院彩色多普勒超声诊断仪（心超）项目</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eastAsia="zh-CN"/>
        </w:rPr>
        <w:t xml:space="preserve">JSZC-320200-XWJC-G2026-0037</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无锡市人民医院彩色多普勒超声诊断仪（心超）项目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2026年7月17日14点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15"/>
        <w:ind w:firstLine="452"/>
        <w:keepLines w:val="0"/>
        <w:keepNext w:val="0"/>
        <w:spacing w:before="0" w:after="0" w:line="500" w:lineRule="exact"/>
        <w:rPr>
          <w:color w:val="auto"/>
          <w:sz w:val="30"/>
          <w:szCs w:val="30"/>
          <w:highlight w:val="none"/>
        </w:rPr>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JSZC-320200-XWJC-G2026-0037</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无锡市人民医院彩色多普勒超声诊断仪（心超）项目</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3.项目预</w:t>
      </w:r>
      <w:r>
        <w:rPr>
          <w:rFonts w:hint="eastAsia" w:ascii="宋体" w:hAnsi="宋体" w:cs="宋体"/>
          <w:color w:val="auto"/>
          <w:sz w:val="24"/>
          <w:szCs w:val="24"/>
          <w:highlight w:val="none"/>
        </w:rPr>
        <w:t xml:space="preserve">算金额：</w:t>
      </w:r>
      <w:r>
        <w:rPr>
          <w:rFonts w:hint="eastAsia" w:ascii="宋体" w:hAnsi="宋体" w:cs="宋体"/>
          <w:color w:val="auto"/>
          <w:sz w:val="24"/>
          <w:szCs w:val="24"/>
          <w:highlight w:val="none"/>
          <w:lang w:val="en-US" w:eastAsia="zh-CN"/>
        </w:rPr>
        <w:t xml:space="preserve">540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3套）</w:t>
      </w:r>
      <w:r/>
    </w:p>
    <w:p>
      <w:pPr>
        <w:ind w:firstLine="480"/>
        <w:spacing w:line="5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4.项目最高限价：</w:t>
      </w:r>
      <w:r>
        <w:rPr>
          <w:rFonts w:hint="eastAsia" w:ascii="宋体" w:hAnsi="宋体" w:cs="宋体"/>
          <w:color w:val="auto"/>
          <w:sz w:val="24"/>
          <w:szCs w:val="24"/>
          <w:highlight w:val="none"/>
          <w:lang w:val="en-US" w:eastAsia="zh-CN"/>
        </w:rPr>
        <w:t xml:space="preserve">540</w:t>
      </w:r>
      <w:r>
        <w:rPr>
          <w:rFonts w:hint="eastAsia" w:ascii="宋体" w:hAnsi="宋体" w:cs="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715"/>
        <w:ind w:firstLine="452"/>
        <w:keepLines w:val="0"/>
        <w:keepNext w:val="0"/>
        <w:spacing w:before="0" w:after="0" w:line="500" w:lineRule="exact"/>
        <w:rPr>
          <w:color w:val="auto"/>
          <w:sz w:val="30"/>
          <w:szCs w:val="30"/>
          <w:highlight w:val="none"/>
        </w:rPr>
      </w:pPr>
      <w:r/>
      <w:bookmarkStart w:id="12" w:name="_Toc28359080"/>
      <w:r/>
      <w:bookmarkStart w:id="13" w:name="_Toc35393622"/>
      <w:r/>
      <w:bookmarkStart w:id="14" w:name="_Toc35393791"/>
      <w:r/>
      <w:bookmarkStart w:id="15" w:name="_Toc28359003"/>
      <w:r/>
      <w:bookmarkStart w:id="16" w:name="_Toc38985264"/>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35393623"/>
      <w:r/>
      <w:bookmarkStart w:id="19" w:name="_Toc28359004"/>
      <w:r/>
      <w:bookmarkStart w:id="20" w:name="_Toc28359081"/>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pStyle w:val="715"/>
        <w:ind w:firstLine="452"/>
        <w:keepLines w:val="0"/>
        <w:keepNext w:val="0"/>
        <w:spacing w:before="0" w:after="0" w:line="500" w:lineRule="exact"/>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pStyle w:val="715"/>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70"/>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715"/>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lang w:eastAsia="zh-CN"/>
        </w:rPr>
        <w:t xml:space="preserve">2026年7月17日14点</w:t>
      </w:r>
      <w:r>
        <w:rPr>
          <w:rFonts w:hint="eastAsia" w:ascii="宋体" w:hAnsi="宋体"/>
          <w:bCs/>
          <w:color w:val="auto"/>
          <w:sz w:val="24"/>
          <w:szCs w:val="24"/>
          <w:highlight w:val="none"/>
          <w:lang w:val="en-US" w:eastAsia="zh-CN"/>
        </w:rPr>
        <w:t xml:space="preserve">00</w:t>
      </w:r>
      <w:r>
        <w:rPr>
          <w:rFonts w:hint="eastAsia" w:ascii="宋体" w:hAnsi="宋体"/>
          <w:bCs/>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715"/>
        <w:ind w:firstLine="452"/>
        <w:keepLines w:val="0"/>
        <w:keepNext w:val="0"/>
        <w:spacing w:before="0" w:after="0" w:line="500" w:lineRule="exact"/>
        <w:rPr>
          <w:color w:val="auto"/>
          <w:sz w:val="30"/>
          <w:szCs w:val="30"/>
          <w:highlight w:val="none"/>
        </w:rPr>
      </w:pPr>
      <w:r/>
      <w:bookmarkStart w:id="27" w:name="_Toc35393625"/>
      <w:r/>
      <w:bookmarkStart w:id="28" w:name="_Toc28359084"/>
      <w:r/>
      <w:bookmarkStart w:id="29" w:name="_Toc28359007"/>
      <w:r/>
      <w:bookmarkStart w:id="30" w:name="_Toc35393794"/>
      <w:r/>
      <w:bookmarkStart w:id="31" w:name="_Toc3898526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715"/>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715"/>
        <w:ind w:firstLine="452"/>
        <w:keepLines w:val="0"/>
        <w:keepNext w:val="0"/>
        <w:spacing w:before="0" w:after="0" w:line="500" w:lineRule="exact"/>
        <w:rPr>
          <w:color w:val="auto"/>
          <w:sz w:val="30"/>
          <w:szCs w:val="30"/>
          <w:highlight w:val="none"/>
        </w:rPr>
      </w:pPr>
      <w:r/>
      <w:bookmarkStart w:id="35" w:name="_Toc28359008"/>
      <w:r/>
      <w:bookmarkStart w:id="36" w:name="_Toc28359085"/>
      <w:r/>
      <w:bookmarkStart w:id="37" w:name="_Toc35393796"/>
      <w:r/>
      <w:bookmarkStart w:id="38" w:name="_Toc38985269"/>
      <w:r/>
      <w:bookmarkStart w:id="39" w:name="_Toc35393627"/>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无锡市人民医院</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eastAsia="宋体" w:cs="宋体"/>
          <w:sz w:val="24"/>
          <w:szCs w:val="24"/>
          <w:highlight w:val="none"/>
          <w:lang w:val="en-US" w:eastAsia="zh-CN"/>
        </w:rPr>
        <w:t xml:space="preserve">无锡市清扬路299号无锡市人民医院</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w:t>
      </w:r>
      <w:r>
        <w:rPr>
          <w:rFonts w:hint="eastAsia" w:ascii="宋体" w:hAnsi="宋体" w:cs="宋体"/>
          <w:color w:val="000000"/>
          <w:sz w:val="24"/>
          <w:szCs w:val="24"/>
          <w:highlight w:val="none"/>
        </w:rPr>
        <w:t xml:space="preserve">张老师</w:t>
      </w:r>
      <w:r>
        <w:rPr>
          <w:rFonts w:hint="eastAsia" w:ascii="宋体" w:hAnsi="宋体" w:cs="宋体"/>
          <w:color w:val="auto"/>
          <w:sz w:val="24"/>
          <w:szCs w:val="24"/>
          <w:highlight w:val="none"/>
        </w:rPr>
        <w:t xml:space="preserve">；电话：</w:t>
      </w:r>
      <w:r>
        <w:rPr>
          <w:rFonts w:ascii="宋体" w:hAnsi="宋体" w:cs="宋体"/>
          <w:color w:val="000000"/>
          <w:sz w:val="24"/>
          <w:szCs w:val="24"/>
          <w:highlight w:val="none"/>
        </w:rPr>
        <w:t xml:space="preserve">0510-</w:t>
      </w:r>
      <w:r>
        <w:rPr>
          <w:highlight w:val="none"/>
        </w:rPr>
        <w:t xml:space="preserve"> </w:t>
      </w:r>
      <w:r>
        <w:rPr>
          <w:rFonts w:hint="eastAsia" w:ascii="宋体" w:hAnsi="宋体" w:cs="宋体"/>
          <w:color w:val="000000" w:themeColor="text1"/>
          <w:sz w:val="24"/>
          <w:szCs w:val="24"/>
          <w:highlight w:val="none"/>
          <w14:textFill>
            <w14:solidFill>
              <w14:schemeClr w14:val="tx1"/>
            </w14:solidFill>
          </w14:textFill>
        </w:rPr>
        <w:t xml:space="preserve">82734934</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w:t>
      </w:r>
      <w:r>
        <w:rPr>
          <w:rFonts w:hint="eastAsia" w:ascii="宋体" w:hAnsi="宋体" w:cs="宋体"/>
          <w:color w:val="000000"/>
          <w:sz w:val="24"/>
          <w:szCs w:val="24"/>
          <w:highlight w:val="none"/>
        </w:rPr>
        <w:t xml:space="preserve">张老师</w:t>
      </w:r>
      <w:r>
        <w:rPr>
          <w:rFonts w:hint="eastAsia" w:ascii="宋体" w:hAnsi="宋体" w:cs="宋体"/>
          <w:color w:val="auto"/>
          <w:sz w:val="24"/>
          <w:szCs w:val="24"/>
          <w:highlight w:val="none"/>
        </w:rPr>
        <w:t xml:space="preserve">；电话：</w:t>
      </w:r>
      <w:r>
        <w:rPr>
          <w:rFonts w:ascii="宋体" w:hAnsi="宋体" w:cs="宋体"/>
          <w:color w:val="000000"/>
          <w:sz w:val="24"/>
          <w:szCs w:val="24"/>
          <w:highlight w:val="none"/>
        </w:rPr>
        <w:t xml:space="preserve">0510-</w:t>
      </w:r>
      <w:r>
        <w:rPr>
          <w:highlight w:val="none"/>
        </w:rPr>
        <w:t xml:space="preserve"> </w:t>
      </w:r>
      <w:r>
        <w:rPr>
          <w:rFonts w:hint="eastAsia" w:ascii="宋体" w:hAnsi="宋体" w:cs="宋体"/>
          <w:color w:val="000000" w:themeColor="text1"/>
          <w:sz w:val="24"/>
          <w:szCs w:val="24"/>
          <w:highlight w:val="none"/>
          <w14:textFill>
            <w14:solidFill>
              <w14:schemeClr w14:val="tx1"/>
            </w14:solidFill>
          </w14:textFill>
        </w:rPr>
        <w:t xml:space="preserve">82734934</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715"/>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1074"/>
        <w:ind w:left="808" w:hanging="428"/>
        <w:jc w:val="both"/>
        <w:keepLines w:val="0"/>
        <w:keepNext w:val="0"/>
        <w:spacing w:before="0" w:after="0" w:line="500" w:lineRule="exact"/>
        <w:rPr>
          <w:color w:val="auto"/>
          <w:sz w:val="30"/>
          <w:szCs w:val="30"/>
          <w:highlight w:val="none"/>
        </w:rPr>
      </w:pPr>
      <w:r/>
      <w:bookmarkStart w:id="47" w:name="_Toc513029203"/>
      <w:r/>
      <w:bookmarkStart w:id="48" w:name="_Toc120614214"/>
      <w:r/>
      <w:bookmarkStart w:id="49" w:name="_Toc20823275"/>
      <w:r/>
      <w:bookmarkStart w:id="50" w:name="_Toc16938519"/>
      <w:r/>
      <w:bookmarkStart w:id="51" w:name="_Toc120614221"/>
      <w:r/>
      <w:bookmarkStart w:id="52" w:name="_Toc20823314"/>
      <w:r/>
      <w:bookmarkStart w:id="53" w:name="_Toc479757207"/>
      <w:r/>
      <w:bookmarkStart w:id="54" w:name="_Toc513029242"/>
      <w:r/>
      <w:bookmarkStart w:id="55" w:name="_Toc16938558"/>
      <w:r>
        <w:rPr>
          <w:rFonts w:hint="eastAsia"/>
          <w:color w:val="auto"/>
          <w:sz w:val="30"/>
          <w:szCs w:val="30"/>
          <w:highlight w:val="none"/>
          <w:lang w:eastAsia="zh-CN"/>
        </w:rPr>
        <w:t xml:space="preserve">一、总则</w:t>
      </w:r>
      <w:bookmarkEnd w:id="47"/>
      <w:r/>
      <w:bookmarkEnd w:id="48"/>
      <w:r/>
      <w:bookmarkEnd w:id="49"/>
      <w:r/>
      <w:bookmarkEnd w:id="50"/>
      <w:r/>
      <w:r/>
    </w:p>
    <w:p>
      <w:pPr>
        <w:pStyle w:val="1101"/>
        <w:ind w:firstLine="422"/>
        <w:keepLines w:val="0"/>
        <w:keepNext w:val="0"/>
        <w:spacing w:before="0" w:after="0" w:line="500" w:lineRule="exact"/>
        <w:rPr>
          <w:rFonts w:ascii="宋体" w:hAnsi="宋体" w:eastAsia="宋体"/>
          <w:bCs w:val="0"/>
          <w:color w:val="auto"/>
          <w:highlight w:val="none"/>
        </w:rPr>
      </w:pPr>
      <w:r/>
      <w:bookmarkStart w:id="56" w:name="_Hlt16619475"/>
      <w:r/>
      <w:bookmarkEnd w:id="56"/>
      <w:r/>
      <w:bookmarkStart w:id="57" w:name="_Toc20823276"/>
      <w:r/>
      <w:bookmarkStart w:id="58" w:name="_Toc16938520"/>
      <w:r/>
      <w:bookmarkStart w:id="59" w:name="_Toc513029204"/>
      <w:r>
        <w:rPr>
          <w:rFonts w:hint="eastAsia" w:ascii="宋体" w:hAnsi="宋体" w:eastAsia="宋体"/>
          <w:bCs w:val="0"/>
          <w:color w:val="auto"/>
          <w:highlight w:val="none"/>
          <w:lang w:eastAsia="zh-CN"/>
        </w:rPr>
        <w:t xml:space="preserve">1.招标方式</w:t>
      </w:r>
      <w:bookmarkEnd w:id="57"/>
      <w:r/>
      <w:bookmarkEnd w:id="58"/>
      <w:r/>
      <w:bookmarkEnd w:id="59"/>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101"/>
        <w:ind w:firstLine="422"/>
        <w:keepLines w:val="0"/>
        <w:keepNext w:val="0"/>
        <w:spacing w:before="0" w:after="0" w:line="500" w:lineRule="exact"/>
        <w:rPr>
          <w:rFonts w:ascii="宋体" w:hAnsi="宋体" w:eastAsia="宋体"/>
          <w:bCs w:val="0"/>
          <w:color w:val="auto"/>
          <w:highlight w:val="none"/>
        </w:rPr>
      </w:pPr>
      <w:r/>
      <w:bookmarkStart w:id="60" w:name="_Toc20823277"/>
      <w:r/>
      <w:bookmarkStart w:id="61" w:name="_Toc513029205"/>
      <w:r/>
      <w:bookmarkStart w:id="62" w:name="_Toc16938521"/>
      <w:r>
        <w:rPr>
          <w:rFonts w:hint="eastAsia" w:ascii="宋体" w:hAnsi="宋体" w:eastAsia="宋体"/>
          <w:bCs w:val="0"/>
          <w:color w:val="auto"/>
          <w:highlight w:val="none"/>
          <w:lang w:eastAsia="zh-CN"/>
        </w:rPr>
        <w:t xml:space="preserve">2.</w:t>
      </w:r>
      <w:bookmarkEnd w:id="60"/>
      <w:r/>
      <w:bookmarkEnd w:id="61"/>
      <w:r/>
      <w:bookmarkEnd w:id="62"/>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01"/>
        <w:ind w:firstLine="422"/>
        <w:keepLines w:val="0"/>
        <w:keepNext w:val="0"/>
        <w:spacing w:before="0" w:after="0" w:line="500" w:lineRule="exact"/>
        <w:rPr>
          <w:rFonts w:ascii="宋体" w:hAnsi="宋体" w:eastAsia="宋体"/>
          <w:bCs w:val="0"/>
          <w:color w:val="auto"/>
          <w:highlight w:val="none"/>
        </w:rPr>
      </w:pPr>
      <w:r/>
      <w:bookmarkStart w:id="63" w:name="_Toc16938522"/>
      <w:r/>
      <w:bookmarkStart w:id="64" w:name="_Toc20823278"/>
      <w:r/>
      <w:bookmarkStart w:id="65" w:name="_Toc513029206"/>
      <w:r>
        <w:rPr>
          <w:rFonts w:hint="eastAsia" w:ascii="宋体" w:hAnsi="宋体" w:eastAsia="宋体"/>
          <w:bCs w:val="0"/>
          <w:color w:val="auto"/>
          <w:highlight w:val="none"/>
          <w:lang w:eastAsia="zh-CN"/>
        </w:rPr>
        <w:t xml:space="preserve">3.适用法律</w:t>
      </w:r>
      <w:bookmarkEnd w:id="63"/>
      <w:r/>
      <w:bookmarkEnd w:id="64"/>
      <w:r/>
      <w:bookmarkEnd w:id="65"/>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1101"/>
        <w:ind w:firstLine="422"/>
        <w:keepLines w:val="0"/>
        <w:keepNext w:val="0"/>
        <w:spacing w:before="0" w:after="0" w:line="500" w:lineRule="exact"/>
        <w:rPr>
          <w:rFonts w:ascii="宋体" w:hAnsi="宋体" w:eastAsia="宋体"/>
          <w:bCs w:val="0"/>
          <w:color w:val="auto"/>
          <w:highlight w:val="none"/>
        </w:rPr>
      </w:pPr>
      <w:r/>
      <w:bookmarkStart w:id="66" w:name="_Toc16938523"/>
      <w:r/>
      <w:bookmarkStart w:id="67" w:name="_Toc513029207"/>
      <w:r/>
      <w:bookmarkStart w:id="68" w:name="_Toc462564067"/>
      <w:r/>
      <w:bookmarkStart w:id="69" w:name="_Toc20823279"/>
      <w:r>
        <w:rPr>
          <w:rFonts w:hint="eastAsia" w:ascii="宋体" w:hAnsi="宋体" w:eastAsia="宋体"/>
          <w:bCs w:val="0"/>
          <w:color w:val="auto"/>
          <w:highlight w:val="none"/>
          <w:lang w:eastAsia="zh-CN"/>
        </w:rPr>
        <w:t xml:space="preserve">4.投标费用</w:t>
      </w:r>
      <w:bookmarkEnd w:id="66"/>
      <w:r/>
      <w:bookmarkEnd w:id="67"/>
      <w:r/>
      <w:bookmarkEnd w:id="68"/>
      <w:r/>
      <w:bookmarkEnd w:id="69"/>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110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1074"/>
        <w:ind w:left="808" w:hanging="428"/>
        <w:jc w:val="both"/>
        <w:keepLines w:val="0"/>
        <w:keepNext w:val="0"/>
        <w:spacing w:before="0" w:after="0" w:line="500" w:lineRule="exact"/>
        <w:rPr>
          <w:color w:val="auto"/>
          <w:sz w:val="30"/>
          <w:szCs w:val="30"/>
          <w:highlight w:val="none"/>
        </w:rPr>
      </w:pPr>
      <w:r/>
      <w:bookmarkStart w:id="70" w:name="_Toc513029209"/>
      <w:r/>
      <w:bookmarkStart w:id="71" w:name="_Toc16938525"/>
      <w:r/>
      <w:bookmarkStart w:id="72" w:name="_Toc20823281"/>
      <w:r/>
      <w:bookmarkStart w:id="73" w:name="_Toc120614215"/>
      <w:r>
        <w:rPr>
          <w:rFonts w:hint="eastAsia"/>
          <w:color w:val="auto"/>
          <w:sz w:val="30"/>
          <w:szCs w:val="30"/>
          <w:highlight w:val="none"/>
          <w:lang w:eastAsia="zh-CN"/>
        </w:rPr>
        <w:t xml:space="preserve">二、招标文件</w:t>
      </w:r>
      <w:bookmarkEnd w:id="70"/>
      <w:r/>
      <w:bookmarkEnd w:id="71"/>
      <w:r/>
      <w:bookmarkEnd w:id="72"/>
      <w:r/>
      <w:bookmarkEnd w:id="73"/>
      <w:r/>
      <w:r/>
    </w:p>
    <w:p>
      <w:pPr>
        <w:pStyle w:val="1101"/>
        <w:ind w:firstLine="422"/>
        <w:keepLines w:val="0"/>
        <w:keepNext w:val="0"/>
        <w:spacing w:before="0" w:after="0" w:line="500" w:lineRule="exact"/>
        <w:rPr>
          <w:rFonts w:ascii="宋体" w:hAnsi="宋体" w:eastAsia="宋体"/>
          <w:bCs w:val="0"/>
          <w:color w:val="auto"/>
          <w:highlight w:val="none"/>
        </w:rPr>
      </w:pPr>
      <w:r/>
      <w:bookmarkStart w:id="74" w:name="_Toc20823282"/>
      <w:r/>
      <w:bookmarkStart w:id="75" w:name="_Toc16938526"/>
      <w:r/>
      <w:bookmarkStart w:id="76" w:name="_Toc513029210"/>
      <w:r>
        <w:rPr>
          <w:rFonts w:hint="eastAsia" w:ascii="宋体" w:hAnsi="宋体" w:eastAsia="宋体"/>
          <w:bCs w:val="0"/>
          <w:color w:val="auto"/>
          <w:highlight w:val="none"/>
          <w:lang w:eastAsia="zh-CN"/>
        </w:rPr>
        <w:t xml:space="preserve">6.招标文件构成</w:t>
      </w:r>
      <w:bookmarkEnd w:id="74"/>
      <w:r/>
      <w:bookmarkEnd w:id="75"/>
      <w:r/>
      <w:bookmarkEnd w:id="76"/>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1"/>
        <w:ind w:firstLine="422"/>
        <w:keepLines w:val="0"/>
        <w:keepNext w:val="0"/>
        <w:spacing w:before="0" w:after="0" w:line="500" w:lineRule="exact"/>
        <w:rPr>
          <w:rFonts w:ascii="宋体" w:hAnsi="宋体" w:eastAsia="宋体"/>
          <w:bCs w:val="0"/>
          <w:color w:val="auto"/>
          <w:highlight w:val="none"/>
        </w:rPr>
      </w:pPr>
      <w:r/>
      <w:bookmarkStart w:id="77" w:name="_Toc20823283"/>
      <w:r/>
      <w:bookmarkStart w:id="78" w:name="_Toc16938527"/>
      <w:r/>
      <w:bookmarkStart w:id="79" w:name="_Toc513029211"/>
      <w:r/>
      <w:bookmarkStart w:id="80" w:name="_Toc462564070"/>
      <w:r>
        <w:rPr>
          <w:rFonts w:hint="eastAsia" w:ascii="宋体" w:hAnsi="宋体" w:eastAsia="宋体"/>
          <w:bCs w:val="0"/>
          <w:color w:val="auto"/>
          <w:highlight w:val="none"/>
          <w:lang w:eastAsia="zh-CN"/>
        </w:rPr>
        <w:t xml:space="preserve">7.招标文件的澄清</w:t>
      </w:r>
      <w:bookmarkEnd w:id="77"/>
      <w:r/>
      <w:bookmarkEnd w:id="78"/>
      <w:r/>
      <w:bookmarkEnd w:id="79"/>
      <w:r/>
      <w:bookmarkEnd w:id="80"/>
      <w:r/>
      <w:r/>
    </w:p>
    <w:p>
      <w:pPr>
        <w:ind w:firstLine="480"/>
        <w:spacing w:line="500" w:lineRule="exact"/>
        <w:rPr>
          <w:rFonts w:ascii="宋体" w:hAnsi="宋体"/>
          <w:bCs/>
          <w:color w:val="auto"/>
          <w:sz w:val="24"/>
          <w:highlight w:val="none"/>
        </w:rPr>
      </w:pPr>
      <w:r/>
      <w:bookmarkStart w:id="81" w:name="_Toc462564071"/>
      <w:r/>
      <w:bookmarkStart w:id="82" w:name="_Toc16938528"/>
      <w:r/>
      <w:bookmarkStart w:id="83" w:name="_Toc20823284"/>
      <w:r/>
      <w:bookmarkStart w:id="84" w:name="_Toc513029212"/>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110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81"/>
      <w:r/>
      <w:bookmarkEnd w:id="82"/>
      <w:r/>
      <w:bookmarkEnd w:id="83"/>
      <w:r/>
      <w:bookmarkEnd w:id="84"/>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74"/>
        <w:ind w:left="808" w:hanging="428"/>
        <w:jc w:val="both"/>
        <w:keepLines w:val="0"/>
        <w:keepNext w:val="0"/>
        <w:spacing w:before="0" w:after="0" w:line="500" w:lineRule="exact"/>
        <w:rPr>
          <w:color w:val="auto"/>
          <w:sz w:val="30"/>
          <w:szCs w:val="30"/>
          <w:highlight w:val="none"/>
        </w:rPr>
      </w:pPr>
      <w:r/>
      <w:bookmarkStart w:id="85" w:name="_Toc462564072"/>
      <w:r/>
      <w:bookmarkStart w:id="86" w:name="_Toc120614216"/>
      <w:r/>
      <w:bookmarkStart w:id="87" w:name="_Toc513029213"/>
      <w:r/>
      <w:bookmarkStart w:id="88" w:name="_Toc20823285"/>
      <w:r/>
      <w:bookmarkStart w:id="89" w:name="_Toc16938529"/>
      <w:r>
        <w:rPr>
          <w:rFonts w:hint="eastAsia"/>
          <w:color w:val="auto"/>
          <w:sz w:val="30"/>
          <w:szCs w:val="30"/>
          <w:highlight w:val="none"/>
          <w:lang w:eastAsia="zh-CN"/>
        </w:rPr>
        <w:t xml:space="preserve">三、投标文件的编制</w:t>
      </w:r>
      <w:bookmarkEnd w:id="85"/>
      <w:r/>
      <w:bookmarkEnd w:id="86"/>
      <w:r/>
      <w:bookmarkEnd w:id="87"/>
      <w:r/>
      <w:bookmarkEnd w:id="88"/>
      <w:r/>
      <w:bookmarkEnd w:id="89"/>
      <w:r/>
      <w:r/>
    </w:p>
    <w:p>
      <w:pPr>
        <w:pStyle w:val="1101"/>
        <w:ind w:firstLine="422"/>
        <w:keepLines w:val="0"/>
        <w:keepNext w:val="0"/>
        <w:spacing w:before="0" w:after="0" w:line="500" w:lineRule="exact"/>
        <w:rPr>
          <w:rFonts w:ascii="宋体" w:hAnsi="宋体" w:eastAsia="宋体"/>
          <w:bCs w:val="0"/>
          <w:color w:val="auto"/>
          <w:highlight w:val="none"/>
        </w:rPr>
      </w:pPr>
      <w:r/>
      <w:bookmarkStart w:id="90" w:name="_Toc513029214"/>
      <w:r/>
      <w:bookmarkStart w:id="91" w:name="_Toc462564073"/>
      <w:r/>
      <w:bookmarkStart w:id="92" w:name="_Toc16938530"/>
      <w:r/>
      <w:bookmarkStart w:id="93" w:name="_Toc20823286"/>
      <w:r>
        <w:rPr>
          <w:rFonts w:hint="eastAsia" w:ascii="宋体" w:hAnsi="宋体" w:eastAsia="宋体"/>
          <w:bCs w:val="0"/>
          <w:color w:val="auto"/>
          <w:highlight w:val="none"/>
          <w:lang w:eastAsia="zh-CN"/>
        </w:rPr>
        <w:t xml:space="preserve">9.投标文件的语言及度量衡单位</w:t>
      </w:r>
      <w:bookmarkEnd w:id="90"/>
      <w:r/>
      <w:bookmarkEnd w:id="91"/>
      <w:r/>
      <w:bookmarkEnd w:id="92"/>
      <w:r/>
      <w:bookmarkEnd w:id="93"/>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9.7投标费用自理。</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4" w:name="_Toc462564074"/>
      <w:r/>
      <w:bookmarkStart w:id="95" w:name="_Toc20823287"/>
      <w:r/>
      <w:bookmarkStart w:id="96" w:name="_Toc16938531"/>
      <w:r/>
      <w:bookmarkStart w:id="97" w:name="_Toc513029215"/>
      <w:r>
        <w:rPr>
          <w:rFonts w:hint="eastAsia" w:ascii="宋体" w:hAnsi="宋体" w:eastAsia="宋体"/>
          <w:bCs w:val="0"/>
          <w:color w:val="auto"/>
          <w:highlight w:val="none"/>
          <w:lang w:eastAsia="zh-CN"/>
        </w:rPr>
        <w:t xml:space="preserve">10.投标文件构成</w:t>
      </w:r>
      <w:bookmarkEnd w:id="94"/>
      <w:r/>
      <w:bookmarkEnd w:id="95"/>
      <w:r/>
      <w:bookmarkEnd w:id="96"/>
      <w:r/>
      <w:bookmarkEnd w:id="97"/>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8" w:name="_Hlt26954838"/>
      <w:r/>
      <w:bookmarkEnd w:id="98"/>
      <w:r/>
      <w:bookmarkStart w:id="99" w:name="_Hlt26670360"/>
      <w:r/>
      <w:bookmarkEnd w:id="99"/>
      <w:r/>
      <w:bookmarkStart w:id="100" w:name="_Hlt26668975"/>
      <w:r/>
      <w:bookmarkEnd w:id="100"/>
      <w:r/>
      <w:bookmarkStart w:id="101" w:name="_Toc513029219"/>
      <w:r/>
      <w:bookmarkStart w:id="102" w:name="_Toc49090507"/>
      <w:r/>
      <w:bookmarkStart w:id="103" w:name="_Toc49090509"/>
      <w:r/>
      <w:bookmarkStart w:id="104" w:name="_Toc14577357"/>
      <w:r/>
      <w:bookmarkStart w:id="105" w:name="_Toc14577354"/>
      <w:r/>
      <w:bookmarkStart w:id="106" w:name="_Toc513029216"/>
      <w:r>
        <w:rPr>
          <w:rFonts w:hint="eastAsia" w:ascii="宋体" w:hAnsi="宋体" w:eastAsia="宋体"/>
          <w:bCs w:val="0"/>
          <w:color w:val="auto"/>
          <w:highlight w:val="none"/>
          <w:lang w:eastAsia="zh-CN"/>
        </w:rPr>
        <w:t xml:space="preserve">11.证明投标人及投标标的符合招标文件规定的文件</w:t>
      </w:r>
      <w:bookmarkEnd w:id="101"/>
      <w:r/>
      <w:bookmarkEnd w:id="102"/>
      <w:r/>
      <w:bookmarkEnd w:id="103"/>
      <w:r/>
      <w:bookmarkEnd w:id="104"/>
      <w:r/>
      <w:bookmarkEnd w:id="105"/>
      <w:r/>
      <w:bookmarkEnd w:id="106"/>
      <w:r/>
      <w:r/>
    </w:p>
    <w:p>
      <w:pPr>
        <w:ind w:firstLine="480"/>
        <w:keepLines w:val="0"/>
        <w:keepNext w:val="0"/>
        <w:pageBreakBefore w:val="0"/>
        <w:spacing w:line="500" w:lineRule="exact"/>
        <w:widowControl w:val="off"/>
        <w:rPr>
          <w:rFonts w:ascii="宋体" w:hAnsi="宋体"/>
          <w:bCs/>
          <w:color w:val="auto"/>
          <w:sz w:val="24"/>
          <w:highlight w:val="none"/>
        </w:rPr>
      </w:pPr>
      <w:r/>
      <w:bookmarkStart w:id="107" w:name="_Toc49090508"/>
      <w:r/>
      <w:bookmarkStart w:id="108"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9" w:name="_Toc49090510"/>
      <w:r/>
      <w:bookmarkStart w:id="110"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9"/>
      <w:r/>
      <w:bookmarkEnd w:id="110"/>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7"/>
      <w:r/>
      <w:bookmarkEnd w:id="108"/>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11" w:name="_Hlt26954840"/>
      <w:r/>
      <w:bookmarkEnd w:id="111"/>
      <w:r>
        <w:rPr>
          <w:rFonts w:hint="eastAsia" w:ascii="宋体" w:hAnsi="宋体"/>
          <w:color w:val="auto"/>
          <w:sz w:val="24"/>
          <w:highlight w:val="none"/>
        </w:rPr>
        <w:t xml:space="preserve">标人应按照招标文件规定格式填报</w:t>
      </w:r>
      <w:bookmarkStart w:id="112" w:name="_Hlt26670399"/>
      <w:r/>
      <w:bookmarkEnd w:id="112"/>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3" w:name="_Hlt26954842"/>
      <w:r/>
      <w:bookmarkEnd w:id="113"/>
      <w:r/>
      <w:bookmarkStart w:id="114" w:name="_Hlt26670425"/>
      <w:r/>
      <w:bookmarkEnd w:id="114"/>
      <w:r/>
      <w:bookmarkStart w:id="115" w:name="_Hlt26954846"/>
      <w:r/>
      <w:bookmarkEnd w:id="115"/>
      <w:r/>
      <w:bookmarkStart w:id="116" w:name="_Hlt26670486"/>
      <w:r/>
      <w:bookmarkEnd w:id="116"/>
      <w:r/>
      <w:bookmarkStart w:id="117" w:name="_Hlt26670403"/>
      <w:r/>
      <w:bookmarkEnd w:id="117"/>
      <w:r/>
      <w:bookmarkStart w:id="118" w:name="_Hlt26668983"/>
      <w:r/>
      <w:bookmarkEnd w:id="118"/>
      <w:r/>
      <w:bookmarkStart w:id="119" w:name="_Hlt26670482"/>
      <w:r/>
      <w:bookmarkEnd w:id="119"/>
      <w:r/>
      <w:bookmarkStart w:id="120" w:name="_Hlt26954844"/>
      <w:r/>
      <w:bookmarkEnd w:id="120"/>
      <w:r/>
      <w:bookmarkStart w:id="121" w:name="_Hlt26954848"/>
      <w:r/>
      <w:bookmarkEnd w:id="121"/>
      <w:r/>
      <w:bookmarkStart w:id="122" w:name="_Hlt26954731"/>
      <w:r/>
      <w:bookmarkEnd w:id="122"/>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3" w:name="_Hlt26954850"/>
      <w:r/>
      <w:bookmarkEnd w:id="123"/>
      <w:r/>
      <w:bookmarkStart w:id="124" w:name="_Hlt26954734"/>
      <w:r/>
      <w:bookmarkEnd w:id="124"/>
      <w:r/>
      <w:bookmarkStart w:id="125" w:name="_Hlt26670489"/>
      <w:r/>
      <w:bookmarkEnd w:id="125"/>
      <w:r/>
      <w:bookmarkStart w:id="126" w:name="_Toc14577360"/>
      <w:r/>
      <w:bookmarkStart w:id="127" w:name="_Toc49090511"/>
      <w:r>
        <w:rPr>
          <w:rFonts w:hint="eastAsia" w:ascii="宋体" w:hAnsi="宋体" w:eastAsia="宋体"/>
          <w:bCs w:val="0"/>
          <w:color w:val="auto"/>
          <w:highlight w:val="none"/>
          <w:lang w:eastAsia="zh-CN"/>
        </w:rPr>
        <w:t xml:space="preserve">15.投标有效期</w:t>
      </w:r>
      <w:bookmarkEnd w:id="126"/>
      <w:r/>
      <w:bookmarkEnd w:id="12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1074"/>
        <w:ind w:left="808" w:hanging="428"/>
        <w:jc w:val="both"/>
        <w:keepLines w:val="0"/>
        <w:keepNext w:val="0"/>
        <w:pageBreakBefore w:val="0"/>
        <w:spacing w:before="0" w:after="0" w:line="500" w:lineRule="exact"/>
        <w:widowControl w:val="off"/>
        <w:rPr>
          <w:color w:val="auto"/>
          <w:sz w:val="30"/>
          <w:szCs w:val="30"/>
          <w:highlight w:val="none"/>
        </w:rPr>
      </w:pPr>
      <w:r/>
      <w:bookmarkStart w:id="128" w:name="_Hlt26954852"/>
      <w:r/>
      <w:bookmarkEnd w:id="128"/>
      <w:r/>
      <w:bookmarkStart w:id="129" w:name="_Hlt26954739"/>
      <w:r/>
      <w:bookmarkEnd w:id="129"/>
      <w:r/>
      <w:bookmarkStart w:id="130" w:name="_Toc16938540"/>
      <w:r/>
      <w:bookmarkStart w:id="131" w:name="_Toc120614217"/>
      <w:r/>
      <w:bookmarkStart w:id="132" w:name="_Toc20823296"/>
      <w:r/>
      <w:bookmarkStart w:id="133" w:name="_Toc513029224"/>
      <w:r>
        <w:rPr>
          <w:rFonts w:hint="eastAsia"/>
          <w:color w:val="auto"/>
          <w:sz w:val="30"/>
          <w:szCs w:val="30"/>
          <w:highlight w:val="none"/>
          <w:lang w:eastAsia="zh-CN"/>
        </w:rPr>
        <w:t xml:space="preserve">四、投标文件的递交</w:t>
      </w:r>
      <w:bookmarkEnd w:id="130"/>
      <w:r/>
      <w:bookmarkEnd w:id="131"/>
      <w:r/>
      <w:bookmarkEnd w:id="132"/>
      <w:r/>
      <w:bookmarkEnd w:id="133"/>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4" w:name="_Toc513029225"/>
      <w:r/>
      <w:bookmarkStart w:id="135" w:name="_Toc16938541"/>
      <w:r/>
      <w:bookmarkStart w:id="136" w:name="_Toc20823297"/>
      <w:r/>
      <w:bookmarkStart w:id="137" w:name="_Toc462564084"/>
      <w:r>
        <w:rPr>
          <w:rFonts w:hint="eastAsia" w:ascii="宋体" w:hAnsi="宋体" w:eastAsia="宋体"/>
          <w:bCs w:val="0"/>
          <w:color w:val="auto"/>
          <w:highlight w:val="none"/>
          <w:lang w:eastAsia="zh-CN"/>
        </w:rPr>
        <w:t xml:space="preserve">17.投标文件</w:t>
      </w:r>
      <w:bookmarkEnd w:id="134"/>
      <w:r/>
      <w:bookmarkEnd w:id="135"/>
      <w:r/>
      <w:bookmarkEnd w:id="136"/>
      <w:r/>
      <w:bookmarkEnd w:id="137"/>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102"/>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8" w:name="_Toc513029226"/>
      <w:r/>
      <w:bookmarkStart w:id="139" w:name="_Toc20823298"/>
      <w:r/>
      <w:bookmarkStart w:id="140" w:name="_Toc16938542"/>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8"/>
      <w:r/>
      <w:bookmarkEnd w:id="139"/>
      <w:r/>
      <w:bookmarkEnd w:id="140"/>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1" w:name="_Toc20823299"/>
      <w:r/>
      <w:bookmarkStart w:id="142" w:name="_Toc513029227"/>
      <w:r/>
      <w:bookmarkStart w:id="143" w:name="_Toc16938543"/>
      <w:r>
        <w:rPr>
          <w:rFonts w:hint="eastAsia" w:ascii="宋体" w:hAnsi="宋体" w:eastAsia="宋体"/>
          <w:bCs w:val="0"/>
          <w:color w:val="auto"/>
          <w:highlight w:val="none"/>
          <w:lang w:eastAsia="zh-CN"/>
        </w:rPr>
        <w:t xml:space="preserve">19.投标文件</w:t>
      </w:r>
      <w:bookmarkEnd w:id="141"/>
      <w:r/>
      <w:bookmarkEnd w:id="142"/>
      <w:r/>
      <w:bookmarkEnd w:id="143"/>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4" w:name="_Toc513029228"/>
      <w:r/>
      <w:bookmarkStart w:id="145" w:name="_Toc20823300"/>
      <w:r/>
      <w:bookmarkStart w:id="146" w:name="_Toc16938544"/>
      <w:r>
        <w:rPr>
          <w:rFonts w:hint="eastAsia" w:ascii="宋体" w:hAnsi="宋体" w:eastAsia="宋体"/>
          <w:bCs w:val="0"/>
          <w:color w:val="auto"/>
          <w:highlight w:val="none"/>
          <w:lang w:eastAsia="zh-CN"/>
        </w:rPr>
        <w:t xml:space="preserve">20.投标文件的撤回和修改</w:t>
      </w:r>
      <w:bookmarkEnd w:id="144"/>
      <w:r/>
      <w:bookmarkEnd w:id="145"/>
      <w:r/>
      <w:bookmarkEnd w:id="146"/>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1074"/>
        <w:ind w:left="808" w:hanging="428"/>
        <w:jc w:val="both"/>
        <w:keepLines w:val="0"/>
        <w:keepNext w:val="0"/>
        <w:pageBreakBefore w:val="0"/>
        <w:spacing w:before="0" w:after="0" w:line="500" w:lineRule="exact"/>
        <w:widowControl w:val="off"/>
        <w:rPr>
          <w:color w:val="auto"/>
          <w:sz w:val="30"/>
          <w:szCs w:val="30"/>
          <w:highlight w:val="none"/>
        </w:rPr>
      </w:pPr>
      <w:r/>
      <w:bookmarkStart w:id="147" w:name="_Toc20823301"/>
      <w:r/>
      <w:bookmarkStart w:id="148" w:name="_Toc120614218"/>
      <w:r/>
      <w:bookmarkStart w:id="149" w:name="_Toc513029229"/>
      <w:r/>
      <w:bookmarkStart w:id="150" w:name="_Toc16938545"/>
      <w:r>
        <w:rPr>
          <w:rFonts w:hint="eastAsia"/>
          <w:color w:val="auto"/>
          <w:sz w:val="30"/>
          <w:szCs w:val="30"/>
          <w:highlight w:val="none"/>
          <w:lang w:eastAsia="zh-CN"/>
        </w:rPr>
        <w:t xml:space="preserve">五、开标与评标</w:t>
      </w:r>
      <w:bookmarkEnd w:id="147"/>
      <w:r/>
      <w:bookmarkEnd w:id="148"/>
      <w:r/>
      <w:bookmarkEnd w:id="149"/>
      <w:r/>
      <w:bookmarkEnd w:id="150"/>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1" w:name="_Toc513029230"/>
      <w:r/>
      <w:bookmarkStart w:id="152" w:name="_Toc20823302"/>
      <w:r/>
      <w:bookmarkStart w:id="153" w:name="_Toc16938546"/>
      <w:r>
        <w:rPr>
          <w:rFonts w:hint="eastAsia" w:ascii="宋体" w:hAnsi="宋体" w:eastAsia="宋体"/>
          <w:bCs w:val="0"/>
          <w:color w:val="auto"/>
          <w:highlight w:val="none"/>
          <w:lang w:eastAsia="zh-CN"/>
        </w:rPr>
        <w:t xml:space="preserve">21.开标</w:t>
      </w:r>
      <w:bookmarkEnd w:id="151"/>
      <w:r/>
      <w:bookmarkEnd w:id="152"/>
      <w:r/>
      <w:bookmarkEnd w:id="153"/>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4" w:name="_Toc20823303"/>
      <w:r/>
      <w:bookmarkStart w:id="155" w:name="_Toc513029231"/>
      <w:r/>
      <w:bookmarkStart w:id="156"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54"/>
      <w:r/>
      <w:bookmarkEnd w:id="155"/>
      <w:r/>
      <w:bookmarkEnd w:id="156"/>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7" w:name="_Toc513029232"/>
      <w:r/>
      <w:bookmarkStart w:id="158" w:name="_Toc16938548"/>
      <w:r/>
      <w:bookmarkStart w:id="159" w:name="_Toc20823304"/>
      <w:r>
        <w:rPr>
          <w:rFonts w:hint="eastAsia" w:ascii="宋体" w:hAnsi="宋体" w:eastAsia="宋体"/>
          <w:bCs w:val="0"/>
          <w:color w:val="auto"/>
          <w:highlight w:val="none"/>
          <w:lang w:eastAsia="zh-CN"/>
        </w:rPr>
        <w:t xml:space="preserve">24.投标文件的澄清</w:t>
      </w:r>
      <w:bookmarkEnd w:id="157"/>
      <w:r/>
      <w:bookmarkEnd w:id="158"/>
      <w:r/>
      <w:bookmarkEnd w:id="159"/>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0" w:name="_Toc20823305"/>
      <w:r/>
      <w:bookmarkStart w:id="161" w:name="_Toc513029233"/>
      <w:r/>
      <w:bookmarkStart w:id="162" w:name="_Toc16938549"/>
      <w:r>
        <w:rPr>
          <w:rFonts w:hint="eastAsia" w:ascii="宋体" w:hAnsi="宋体" w:eastAsia="宋体"/>
          <w:bCs w:val="0"/>
          <w:color w:val="auto"/>
          <w:highlight w:val="none"/>
          <w:lang w:eastAsia="zh-CN"/>
        </w:rPr>
        <w:t xml:space="preserve">25.对投标文件的初审</w:t>
      </w:r>
      <w:bookmarkEnd w:id="160"/>
      <w:r/>
      <w:bookmarkEnd w:id="161"/>
      <w:r/>
      <w:bookmarkEnd w:id="16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63" w:name="_Toc20823306"/>
      <w:r/>
      <w:bookmarkStart w:id="164" w:name="_Toc16938550"/>
      <w:r/>
      <w:bookmarkStart w:id="165" w:name="_Toc513029234"/>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63"/>
      <w:r/>
      <w:bookmarkEnd w:id="164"/>
      <w:r/>
      <w:bookmarkEnd w:id="165"/>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6" w:name="_Toc20823307"/>
      <w:r/>
      <w:bookmarkStart w:id="167" w:name="_Toc513029235"/>
      <w:r/>
      <w:bookmarkStart w:id="168" w:name="_Toc16938551"/>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26.1.16不同投标人的投标文件的装订形式、纸张情况、目录序号、排版格式、文字风格等存在明显的相似性或一致性，特征显示由同一单位或者同一个人编制的。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如本项目采购产品被财政部、国家发改委列入“节能产品</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rPr>
        <w:t xml:space="preserve">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500" w:lineRule="exact"/>
        <w:widowControl w:val="off"/>
        <w:rPr>
          <w:rFonts w:ascii="宋体" w:hAnsi="宋体"/>
          <w:color w:val="auto"/>
          <w:highlight w:val="none"/>
        </w:rPr>
      </w:pPr>
      <w:r>
        <w:rPr>
          <w:rFonts w:hint="eastAsia" w:ascii="宋体" w:hAnsi="宋体"/>
          <w:bCs/>
          <w:color w:val="auto"/>
          <w:sz w:val="24"/>
          <w:szCs w:val="24"/>
          <w:highlight w:val="none"/>
        </w:rPr>
        <w:t xml:space="preserve">26.1.26投标文件含有采购人不能接受的附加条件的。</w:t>
      </w:r>
      <w:r>
        <w:rPr>
          <w:rFonts w:ascii="宋体" w:hAnsi="宋体"/>
          <w:bCs/>
          <w:color w:val="auto"/>
          <w:sz w:val="24"/>
          <w:szCs w:val="24"/>
          <w:highlight w:val="none"/>
        </w:rPr>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1074"/>
        <w:ind w:left="808" w:hanging="428"/>
        <w:jc w:val="both"/>
        <w:keepLines w:val="0"/>
        <w:keepNext w:val="0"/>
        <w:pageBreakBefore w:val="0"/>
        <w:spacing w:before="0" w:after="0" w:line="500" w:lineRule="exact"/>
        <w:widowControl w:val="off"/>
        <w:rPr>
          <w:color w:val="auto"/>
          <w:sz w:val="30"/>
          <w:szCs w:val="30"/>
          <w:highlight w:val="none"/>
        </w:rPr>
      </w:pPr>
      <w:r/>
      <w:bookmarkStart w:id="169" w:name="_Toc120614219"/>
      <w:r>
        <w:rPr>
          <w:rFonts w:hint="eastAsia"/>
          <w:color w:val="auto"/>
          <w:sz w:val="30"/>
          <w:szCs w:val="30"/>
          <w:highlight w:val="none"/>
          <w:lang w:eastAsia="zh-CN"/>
        </w:rPr>
        <w:t xml:space="preserve">六、</w:t>
      </w:r>
      <w:bookmarkEnd w:id="166"/>
      <w:r/>
      <w:bookmarkEnd w:id="167"/>
      <w:r/>
      <w:bookmarkEnd w:id="168"/>
      <w:r>
        <w:rPr>
          <w:rFonts w:hint="eastAsia"/>
          <w:color w:val="auto"/>
          <w:sz w:val="30"/>
          <w:szCs w:val="30"/>
          <w:highlight w:val="none"/>
          <w:lang w:eastAsia="zh-CN"/>
        </w:rPr>
        <w:t xml:space="preserve">定标</w:t>
      </w:r>
      <w:bookmarkEnd w:id="169"/>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0" w:name="_Toc513029238"/>
      <w:r/>
      <w:bookmarkStart w:id="171" w:name="_Toc20823310"/>
      <w:r/>
      <w:bookmarkStart w:id="172" w:name="_Toc16938554"/>
      <w:r>
        <w:rPr>
          <w:rFonts w:hint="eastAsia" w:ascii="宋体" w:hAnsi="宋体" w:eastAsia="宋体"/>
          <w:bCs w:val="0"/>
          <w:color w:val="auto"/>
          <w:highlight w:val="none"/>
          <w:lang w:eastAsia="zh-CN"/>
        </w:rPr>
        <w:t xml:space="preserve">27</w:t>
      </w:r>
      <w:bookmarkEnd w:id="170"/>
      <w:r>
        <w:rPr>
          <w:rFonts w:hint="eastAsia" w:ascii="宋体" w:hAnsi="宋体" w:eastAsia="宋体"/>
          <w:bCs w:val="0"/>
          <w:color w:val="auto"/>
          <w:highlight w:val="none"/>
          <w:lang w:eastAsia="zh-CN"/>
        </w:rPr>
        <w:t xml:space="preserve">.确定</w:t>
      </w:r>
      <w:bookmarkEnd w:id="171"/>
      <w:r/>
      <w:bookmarkEnd w:id="172"/>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73"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73"/>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74"/>
        <w:ind w:left="808" w:hanging="428"/>
        <w:jc w:val="both"/>
        <w:keepLines w:val="0"/>
        <w:keepNext w:val="0"/>
        <w:pageBreakBefore w:val="0"/>
        <w:spacing w:before="0" w:after="0" w:line="500" w:lineRule="exact"/>
        <w:widowControl w:val="off"/>
        <w:rPr>
          <w:color w:val="auto"/>
          <w:sz w:val="30"/>
          <w:szCs w:val="30"/>
          <w:highlight w:val="none"/>
        </w:rPr>
      </w:pPr>
      <w:r/>
      <w:bookmarkStart w:id="174" w:name="_Toc16938552"/>
      <w:r/>
      <w:bookmarkStart w:id="175" w:name="_Toc120614220"/>
      <w:r/>
      <w:bookmarkStart w:id="176" w:name="_Toc513029236"/>
      <w:r/>
      <w:bookmarkStart w:id="177" w:name="_Toc20823308"/>
      <w:r>
        <w:rPr>
          <w:rFonts w:hint="eastAsia"/>
          <w:color w:val="auto"/>
          <w:sz w:val="30"/>
          <w:szCs w:val="30"/>
          <w:highlight w:val="none"/>
          <w:lang w:eastAsia="zh-CN"/>
        </w:rPr>
        <w:t xml:space="preserve">七、授予合同</w:t>
      </w:r>
      <w:bookmarkEnd w:id="174"/>
      <w:r/>
      <w:bookmarkEnd w:id="175"/>
      <w:r/>
      <w:bookmarkEnd w:id="176"/>
      <w:r/>
      <w:bookmarkEnd w:id="177"/>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8" w:name="_Toc513029237"/>
      <w:r/>
      <w:bookmarkStart w:id="179" w:name="_Toc20823309"/>
      <w:r/>
      <w:bookmarkStart w:id="180"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110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8"/>
      <w:r/>
      <w:bookmarkEnd w:id="179"/>
      <w:r/>
      <w:bookmarkEnd w:id="180"/>
      <w:r/>
      <w:r/>
    </w:p>
    <w:p>
      <w:pPr>
        <w:pStyle w:val="716"/>
        <w:ind w:firstLine="422"/>
        <w:jc w:val="center"/>
        <w:keepLines w:val="0"/>
        <w:keepNext w:val="0"/>
        <w:spacing w:before="0" w:after="0" w:line="500" w:lineRule="exact"/>
        <w:rPr>
          <w:rFonts w:ascii="黑体"/>
          <w:bCs w:val="0"/>
          <w:color w:val="auto"/>
          <w:sz w:val="36"/>
          <w:szCs w:val="36"/>
          <w:highlight w:val="none"/>
        </w:rPr>
      </w:pPr>
      <w:r>
        <w:rPr>
          <w:rFonts w:ascii="宋体" w:hAnsi="宋体"/>
          <w:color w:val="auto"/>
          <w:sz w:val="24"/>
          <w:highlight w:val="none"/>
          <w:shd w:val="clear" w:color="ffffff" w:fill="d9d9d9"/>
        </w:rPr>
        <w:br w:type="page" w:clear="all"/>
      </w:r>
      <w:r>
        <w:rPr>
          <w:rFonts w:hint="eastAsia" w:ascii="黑体"/>
          <w:color w:val="auto"/>
          <w:sz w:val="36"/>
          <w:szCs w:val="36"/>
          <w:highlight w:val="none"/>
        </w:rPr>
        <w:t xml:space="preserve">第三章  合同</w:t>
      </w:r>
      <w:bookmarkEnd w:id="51"/>
      <w:r/>
      <w:bookmarkEnd w:id="52"/>
      <w:r/>
      <w:bookmarkEnd w:id="53"/>
      <w:r/>
      <w:bookmarkEnd w:id="54"/>
      <w:r/>
      <w:bookmarkEnd w:id="55"/>
      <w:r>
        <w:rPr>
          <w:rFonts w:hint="eastAsia" w:ascii="黑体"/>
          <w:color w:val="auto"/>
          <w:sz w:val="36"/>
          <w:szCs w:val="36"/>
          <w:highlight w:val="none"/>
        </w:rPr>
        <w:t xml:space="preserve">文本</w:t>
      </w:r>
      <w:r/>
    </w:p>
    <w:p>
      <w:pPr>
        <w:ind w:firstLine="480"/>
        <w:spacing w:line="400" w:lineRule="exact"/>
        <w:rPr>
          <w:rFonts w:ascii="宋体" w:hAnsi="宋体"/>
          <w:bCs/>
          <w:color w:val="000000"/>
          <w:sz w:val="24"/>
          <w:highlight w:val="none"/>
        </w:rPr>
      </w:pPr>
      <w:r/>
      <w:bookmarkStart w:id="181" w:name="_Hlt16619369"/>
      <w:r/>
      <w:bookmarkEnd w:id="181"/>
      <w:r/>
      <w:bookmarkStart w:id="182" w:name="_Hlt16619350"/>
      <w:r/>
      <w:bookmarkStart w:id="183" w:name="_Toc16938590"/>
      <w:r/>
      <w:bookmarkStart w:id="184" w:name="_Toc120614244"/>
      <w:r/>
      <w:bookmarkStart w:id="185" w:name="_Toc20823346"/>
      <w:r/>
      <w:bookmarkStart w:id="186" w:name="_Toc462564139"/>
      <w:r/>
      <w:bookmarkStart w:id="187" w:name="_Toc479757211"/>
      <w:r>
        <w:rPr>
          <w:rFonts w:hint="eastAsia" w:ascii="宋体" w:hAnsi="宋体"/>
          <w:bCs/>
          <w:color w:val="000000"/>
          <w:sz w:val="24"/>
          <w:highlight w:val="none"/>
        </w:rPr>
        <w:t xml:space="preserve">以下为中标后</w:t>
      </w:r>
      <w:r>
        <w:rPr>
          <w:rFonts w:hint="eastAsia" w:ascii="宋体" w:hAnsi="宋体"/>
          <w:bCs/>
          <w:color w:val="000000"/>
          <w:sz w:val="24"/>
          <w:highlight w:val="none"/>
          <w:lang w:eastAsia="zh-CN"/>
        </w:rPr>
        <w:t xml:space="preserve">签订</w:t>
      </w:r>
      <w:r>
        <w:rPr>
          <w:rFonts w:hint="eastAsia" w:ascii="宋体" w:hAnsi="宋体"/>
          <w:bCs/>
          <w:color w:val="000000"/>
          <w:sz w:val="24"/>
          <w:highlight w:val="none"/>
        </w:rPr>
        <w:t xml:space="preserve">本项目合同的通用条款，中标人不得提出实质性的修改。</w:t>
      </w:r>
      <w:r/>
    </w:p>
    <w:p>
      <w:pPr>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p>
    <w:p>
      <w:pPr>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甲方：（买方、需方、采购人）_________</w:t>
      </w:r>
      <w:r/>
    </w:p>
    <w:p>
      <w:pPr>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乙方：（卖方、供方、供应商）_________</w:t>
      </w:r>
      <w:r/>
    </w:p>
    <w:p>
      <w:pPr>
        <w:ind w:firstLine="480"/>
        <w:spacing w:line="400" w:lineRule="exact"/>
        <w:rPr>
          <w:rFonts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无锡市卫生健康综合服务中心</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设备名称</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品牌型号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注册证号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国别</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数量</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单价</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总价</w:t>
            </w:r>
            <w:r/>
          </w:p>
        </w:tc>
      </w:tr>
      <w:tr>
        <w:trPr/>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none"/>
                <w:vertAlign w:val="baseline"/>
                <w:lang w:val="en-US" w:eastAsia="zh-CN"/>
              </w:rPr>
            </w:pPr>
            <w:r>
              <w:rPr>
                <w:rFonts w:hint="default" w:ascii="宋体" w:hAnsi="宋体" w:eastAsia="宋体" w:cs="宋体"/>
                <w:bCs/>
                <w:sz w:val="24"/>
                <w:szCs w:val="24"/>
                <w:highlight w:val="none"/>
                <w:vertAlign w:val="baseline"/>
                <w:lang w:val="en-US" w:eastAsia="zh-CN"/>
              </w:rPr>
            </w:r>
            <w:r/>
          </w:p>
        </w:tc>
      </w:tr>
    </w:tbl>
    <w:p>
      <w:pPr>
        <w:pStyle w:val="760"/>
        <w:rPr>
          <w:highlight w:val="none"/>
        </w:rPr>
      </w:pPr>
      <w:r>
        <w:rPr>
          <w:highlight w:val="none"/>
        </w:rPr>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标的质量：</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1.3标的数量（规模）：</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1.4履行时间（期限）：</w:t>
      </w:r>
      <w:r/>
    </w:p>
    <w:p>
      <w:pPr>
        <w:ind w:firstLine="480"/>
        <w:spacing w:line="40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1.5履行地点：</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6履行方式：</w:t>
      </w:r>
      <w:r/>
    </w:p>
    <w:p>
      <w:pPr>
        <w:ind w:firstLine="480"/>
        <w:spacing w:line="40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1.7包装方式：</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2.1</w:t>
      </w:r>
      <w:r>
        <w:rPr>
          <w:rFonts w:hAnsi="宋体"/>
          <w:color w:val="000000"/>
          <w:sz w:val="24"/>
          <w:szCs w:val="24"/>
          <w:highlight w:val="none"/>
        </w:rPr>
        <w:t xml:space="preserve">本合同金额为（大写）： _____________</w:t>
      </w:r>
      <w:r>
        <w:rPr>
          <w:rFonts w:hint="eastAsia" w:hAnsi="宋体"/>
          <w:color w:val="000000"/>
          <w:sz w:val="24"/>
          <w:szCs w:val="24"/>
          <w:highlight w:val="none"/>
          <w:lang w:eastAsia="zh-CN"/>
        </w:rPr>
        <w:t xml:space="preserve">元</w:t>
      </w:r>
      <w:r>
        <w:rPr>
          <w:rFonts w:hAnsi="宋体"/>
          <w:color w:val="000000"/>
          <w:sz w:val="24"/>
          <w:szCs w:val="24"/>
          <w:highlight w:val="none"/>
        </w:rPr>
        <w:t xml:space="preserve">（______元）人民币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包含与货物相关的服务</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的有关技术资料。</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3.2没有甲方事先书面同意，乙方不得将由甲方提供的有关合同或任何合同条文、规格、计划、图纸、样品或资料提供</w:t>
      </w:r>
      <w:r>
        <w:rPr>
          <w:rFonts w:hint="eastAsia" w:ascii="宋体" w:hAnsi="宋体" w:cs="Courier New"/>
          <w:color w:val="000000"/>
          <w:sz w:val="24"/>
          <w:szCs w:val="24"/>
          <w:highlight w:val="none"/>
          <w:lang w:eastAsia="zh-CN"/>
        </w:rPr>
        <w:t xml:space="preserve">给予</w:t>
      </w:r>
      <w:r>
        <w:rPr>
          <w:rFonts w:ascii="宋体" w:hAnsi="宋体" w:cs="Courier New"/>
          <w:color w:val="000000"/>
          <w:sz w:val="24"/>
          <w:szCs w:val="24"/>
          <w:highlight w:val="none"/>
        </w:rPr>
        <w:t xml:space="preserve">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p>
    <w:p>
      <w:pPr>
        <w:ind w:firstLine="480"/>
        <w:spacing w:line="400" w:lineRule="exact"/>
        <w:rPr>
          <w:rFonts w:hint="eastAsia" w:ascii="宋体" w:hAnsi="宋体"/>
          <w:color w:val="000000"/>
          <w:sz w:val="24"/>
          <w:highlight w:val="none"/>
        </w:rPr>
      </w:pPr>
      <w:r>
        <w:rPr>
          <w:rFonts w:hAnsi="宋体"/>
          <w:color w:val="000000"/>
          <w:sz w:val="24"/>
          <w:szCs w:val="24"/>
          <w:highlight w:val="none"/>
        </w:rPr>
        <w:t xml:space="preserve">4.1乙</w:t>
      </w:r>
      <w:r>
        <w:rPr>
          <w:rFonts w:hint="eastAsia" w:ascii="宋体" w:hAnsi="宋体"/>
          <w:color w:val="000000"/>
          <w:sz w:val="24"/>
          <w:highlight w:val="none"/>
        </w:rPr>
        <w:t xml:space="preserve">方应保证甲方在使用、接受本合同货物</w:t>
      </w:r>
      <w:r>
        <w:rPr>
          <w:rFonts w:hint="eastAsia" w:hAnsi="宋体"/>
          <w:color w:val="000000"/>
          <w:sz w:val="24"/>
          <w:szCs w:val="24"/>
          <w:highlight w:val="none"/>
        </w:rPr>
        <w:t xml:space="preserve">（包含与货物相关的服务）</w:t>
      </w:r>
      <w:r>
        <w:rPr>
          <w:rFonts w:hint="eastAsia" w:ascii="宋体" w:hAnsi="宋体"/>
          <w:color w:val="000000"/>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highlight w:val="none"/>
        </w:rPr>
      </w:pPr>
      <w:r>
        <w:rPr>
          <w:rFonts w:hint="eastAsia" w:hAnsi="宋体"/>
          <w:color w:val="000000"/>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p>
    <w:p>
      <w:pPr>
        <w:ind w:firstLine="480"/>
        <w:spacing w:line="400" w:lineRule="exact"/>
        <w:rPr>
          <w:rFonts w:ascii="宋体" w:hAnsi="宋体" w:cs="Courier New"/>
          <w:color w:val="000000"/>
          <w:sz w:val="24"/>
          <w:szCs w:val="24"/>
          <w:highlight w:val="none"/>
          <w:u w:val="single"/>
        </w:rPr>
      </w:pPr>
      <w:r>
        <w:rPr>
          <w:rFonts w:ascii="宋体" w:hAnsi="宋体" w:cs="Courier New"/>
          <w:color w:val="000000"/>
          <w:sz w:val="24"/>
          <w:szCs w:val="24"/>
          <w:highlight w:val="none"/>
        </w:rPr>
        <w:t xml:space="preserve">5.1乙方保证所交付的货物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p>
    <w:p>
      <w:pPr>
        <w:ind w:firstLine="482"/>
        <w:spacing w:line="400" w:lineRule="exact"/>
        <w:rPr>
          <w:rFonts w:hint="eastAsia" w:ascii="宋体" w:hAnsi="宋体" w:eastAsia="宋体" w:cs="Courier New"/>
          <w:b/>
          <w:color w:val="auto"/>
          <w:sz w:val="24"/>
          <w:szCs w:val="24"/>
          <w:highlight w:val="none"/>
          <w:lang w:val="en-US" w:eastAsia="zh-CN"/>
        </w:rPr>
      </w:pPr>
      <w:r>
        <w:rPr>
          <w:rFonts w:ascii="宋体" w:hAnsi="宋体" w:cs="Courier New"/>
          <w:b/>
          <w:color w:val="auto"/>
          <w:sz w:val="24"/>
          <w:szCs w:val="24"/>
          <w:highlight w:val="none"/>
        </w:rPr>
        <w:t xml:space="preserve">六、履约保</w:t>
      </w:r>
      <w:r>
        <w:rPr>
          <w:rFonts w:hint="eastAsia" w:ascii="宋体" w:hAnsi="宋体" w:cs="Courier New"/>
          <w:b/>
          <w:color w:val="auto"/>
          <w:sz w:val="24"/>
          <w:szCs w:val="24"/>
          <w:highlight w:val="none"/>
          <w:lang w:val="en-US" w:eastAsia="zh-CN"/>
        </w:rPr>
        <w:t xml:space="preserve">函</w:t>
      </w:r>
      <w:r/>
    </w:p>
    <w:p>
      <w:pPr>
        <w:ind w:firstLine="480"/>
        <w:jc w:val="left"/>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乙方同意以银行保函形式提交履约担保，担保金额为合同总价款的10%，即人民币【】元（大写：【】）。该履约保函为见索即付的独立保函，用于担保乙方按本合同约定履行其全部义务。</w:t>
      </w:r>
      <w:r>
        <w:rPr>
          <w:rFonts w:hint="eastAsia" w:ascii="宋体" w:hAnsi="宋体" w:cs="Courier New"/>
          <w:color w:val="000000"/>
          <w:sz w:val="24"/>
          <w:szCs w:val="24"/>
          <w:highlight w:val="none"/>
        </w:rPr>
        <w:br/>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6.2 乙方应在本合同生效之日起【10】个工作日内，向甲方提交符合甲方要求的银行保函正本。</w:t>
      </w:r>
      <w:r>
        <w:rPr>
          <w:rFonts w:hint="eastAsia" w:ascii="宋体" w:hAnsi="宋体" w:cs="Courier New"/>
          <w:color w:val="000000"/>
          <w:sz w:val="24"/>
          <w:szCs w:val="24"/>
          <w:highlight w:val="none"/>
        </w:rPr>
        <w:br/>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6.3 履约保函的有效期应自本合同生效之日起，至项目最终</w:t>
      </w:r>
      <w:r>
        <w:rPr>
          <w:rFonts w:hint="eastAsia" w:ascii="宋体" w:hAnsi="宋体" w:cs="Courier New"/>
          <w:color w:val="000000"/>
          <w:sz w:val="24"/>
          <w:szCs w:val="24"/>
          <w:highlight w:val="none"/>
          <w:lang w:val="en-US" w:eastAsia="zh-CN"/>
        </w:rPr>
        <w:t xml:space="preserve">完成</w:t>
      </w:r>
      <w:r>
        <w:rPr>
          <w:rFonts w:hint="eastAsia" w:ascii="宋体" w:hAnsi="宋体" w:cs="Courier New"/>
          <w:color w:val="000000"/>
          <w:sz w:val="24"/>
          <w:szCs w:val="24"/>
          <w:highlight w:val="none"/>
        </w:rPr>
        <w:t xml:space="preserve">且双方就合同履行无任何未决争议之日起【90】日后届满。保函到期自动失效，无需甲方退还。</w:t>
      </w:r>
      <w:r/>
    </w:p>
    <w:p>
      <w:pPr>
        <w:ind w:firstLine="480"/>
        <w:jc w:val="left"/>
        <w:spacing w:line="400" w:lineRule="exact"/>
        <w:rPr>
          <w:rFonts w:hint="eastAsia" w:ascii="宋体" w:hAnsi="宋体" w:eastAsia="宋体" w:cs="Courier New"/>
          <w:color w:val="000000"/>
          <w:sz w:val="24"/>
          <w:highlight w:val="none"/>
          <w:lang w:val="en-US" w:eastAsia="zh-CN"/>
        </w:rPr>
      </w:pPr>
      <w:r>
        <w:rPr>
          <w:rFonts w:hint="eastAsia" w:ascii="宋体" w:hAnsi="宋体" w:cs="Courier New"/>
          <w:color w:val="000000"/>
          <w:sz w:val="24"/>
          <w:szCs w:val="24"/>
          <w:highlight w:val="none"/>
          <w:lang w:val="en-US" w:eastAsia="zh-CN"/>
        </w:rPr>
        <w:t xml:space="preserve">6.4</w:t>
      </w:r>
      <w:r>
        <w:rPr>
          <w:rFonts w:hint="eastAsia" w:ascii="宋体" w:hAnsi="宋体" w:cs="Courier New"/>
          <w:color w:val="000000"/>
          <w:sz w:val="24"/>
          <w:szCs w:val="24"/>
          <w:highlight w:val="none"/>
        </w:rPr>
        <w:t xml:space="preserve"> 若乙方发生下列任一情形，对甲方造成损失的，甲方有权就其实际损失金额向出具保函的银行提出索赔，索赔总金额以保函总金额为上限：</w:t>
      </w:r>
      <w:r>
        <w:rPr>
          <w:rFonts w:hint="eastAsia" w:ascii="宋体" w:hAnsi="宋体" w:cs="Courier New"/>
          <w:color w:val="000000"/>
          <w:sz w:val="24"/>
          <w:szCs w:val="24"/>
          <w:highlight w:val="none"/>
        </w:rPr>
        <w:br/>
      </w:r>
      <w:r>
        <w:rPr>
          <w:rFonts w:hint="eastAsia" w:ascii="宋体" w:hAnsi="宋体" w:cs="Courier New"/>
          <w:color w:val="000000"/>
          <w:sz w:val="24"/>
          <w:szCs w:val="24"/>
          <w:highlight w:val="none"/>
          <w:lang w:val="en-US" w:eastAsia="zh-CN"/>
        </w:rPr>
        <w:t xml:space="preserve">    6.4.1</w:t>
      </w:r>
      <w:r>
        <w:rPr>
          <w:rFonts w:hint="eastAsia" w:ascii="宋体" w:hAnsi="宋体" w:cs="Courier New"/>
          <w:color w:val="000000"/>
          <w:sz w:val="24"/>
          <w:szCs w:val="24"/>
          <w:highlight w:val="none"/>
        </w:rPr>
        <w:t xml:space="preserve">乙方根本违约，导致合同目的无法实现的。根本违约包括但不限于：①逾期交付核心产品或服务超过30日；②产品或服务经两次更换或维修后，仍无法满足合同约定的主要性能指标或使用要求；③未经甲方书面同意，擅自将合同项下主要权利义务转让给第三方；④违反保密义务或数据安全承诺，造成严重后果。</w:t>
      </w:r>
      <w:r>
        <w:rPr>
          <w:rFonts w:hint="eastAsia" w:ascii="宋体" w:hAnsi="宋体" w:cs="Courier New"/>
          <w:color w:val="000000"/>
          <w:sz w:val="24"/>
          <w:szCs w:val="24"/>
          <w:highlight w:val="none"/>
        </w:rPr>
        <w:br/>
      </w:r>
      <w:r>
        <w:rPr>
          <w:rFonts w:hint="eastAsia" w:ascii="宋体" w:hAnsi="宋体" w:cs="Courier New"/>
          <w:color w:val="000000"/>
          <w:sz w:val="24"/>
          <w:szCs w:val="24"/>
          <w:highlight w:val="none"/>
          <w:lang w:val="en-US" w:eastAsia="zh-CN"/>
        </w:rPr>
        <w:t xml:space="preserve">    6.4.2</w:t>
      </w:r>
      <w:r>
        <w:rPr>
          <w:rFonts w:hint="eastAsia" w:ascii="宋体" w:hAnsi="宋体" w:cs="Courier New"/>
          <w:color w:val="000000"/>
          <w:sz w:val="24"/>
          <w:szCs w:val="24"/>
          <w:highlight w:val="none"/>
        </w:rPr>
        <w:t xml:space="preserve">乙方提供的产品/服务因严重质量问题导致人身伤害或重大财产损失的。</w:t>
      </w:r>
      <w:r>
        <w:rPr>
          <w:rFonts w:hint="eastAsia" w:ascii="宋体" w:hAnsi="宋体" w:cs="Courier New"/>
          <w:color w:val="000000"/>
          <w:sz w:val="24"/>
          <w:szCs w:val="24"/>
          <w:highlight w:val="none"/>
        </w:rPr>
        <w:br/>
      </w:r>
      <w:r>
        <w:rPr>
          <w:rFonts w:hint="eastAsia" w:ascii="宋体" w:hAnsi="宋体" w:cs="Courier New"/>
          <w:color w:val="000000"/>
          <w:sz w:val="24"/>
          <w:szCs w:val="24"/>
          <w:highlight w:val="none"/>
          <w:lang w:val="en-US" w:eastAsia="zh-CN"/>
        </w:rPr>
        <w:t xml:space="preserve">    6.5</w:t>
      </w:r>
      <w:r>
        <w:rPr>
          <w:rFonts w:hint="eastAsia" w:ascii="宋体" w:hAnsi="宋体" w:cs="Courier New"/>
          <w:color w:val="000000"/>
          <w:sz w:val="24"/>
          <w:szCs w:val="24"/>
          <w:highlight w:val="none"/>
        </w:rPr>
        <w:t xml:space="preserve"> 因乙方原因给甲方造成经济损失，且损失金额未超过履约保函金额的，甲方有权索赔与损失相当的金额；损失金额超过履约保函金额的，甲方有权索赔全部保函金额，并就不足部分继续向乙方追偿。</w:t>
      </w:r>
      <w:r/>
    </w:p>
    <w:p>
      <w:pPr>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p>
    <w:p>
      <w:pPr>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国令第 802 号) 及政府采购相关规定执行。</w:t>
      </w:r>
      <w:r/>
    </w:p>
    <w:p>
      <w:pPr>
        <w:ind w:firstLine="480"/>
        <w:spacing w:line="4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.2</w:t>
      </w:r>
      <w:r>
        <w:rPr>
          <w:rFonts w:ascii="宋体" w:hAnsi="宋体" w:cs="Courier New"/>
          <w:color w:val="000000"/>
          <w:sz w:val="24"/>
          <w:szCs w:val="24"/>
          <w:highlight w:val="none"/>
        </w:rPr>
        <w:t xml:space="preserve">当采购数量与实际使用数量不一致时，</w:t>
      </w:r>
      <w:r>
        <w:rPr>
          <w:rFonts w:hint="eastAsia" w:ascii="宋体" w:hAnsi="宋体" w:cs="Courier New"/>
          <w:color w:val="000000"/>
          <w:sz w:val="24"/>
          <w:szCs w:val="24"/>
          <w:highlight w:val="none"/>
        </w:rPr>
        <w:t xml:space="preserve">乙方</w:t>
      </w:r>
      <w:r>
        <w:rPr>
          <w:rFonts w:ascii="宋体" w:hAnsi="宋体" w:cs="Courier New"/>
          <w:color w:val="000000"/>
          <w:sz w:val="24"/>
          <w:szCs w:val="24"/>
          <w:highlight w:val="none"/>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p>
    <w:p>
      <w:pPr>
        <w:ind w:firstLine="480"/>
        <w:spacing w:line="40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p>
    <w:p>
      <w:pPr>
        <w:ind w:firstLine="482"/>
        <w:spacing w:line="400" w:lineRule="exact"/>
        <w:rPr>
          <w:rFonts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.2乙方提供的货物在质量期内因货物本身的质量问题发生故障，乙方应负责免费更换。对达不到技术要求者，根据实际情况，经双方协商，可按以下办法处理：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.3如在使用过程中发生质量问题，乙方在接到甲方通知后在_________小时内到达甲方现场。</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highlight w:val="none"/>
          <w:u w:val="single"/>
          <w:lang w:val="en-US" w:eastAsia="zh-CN"/>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.5上述的货物免费保修期为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年（自交货验收合格之日起计），因人为因素出现的故障不在免费保修范围内。超过保修期的机器设备，</w:t>
      </w:r>
      <w:r>
        <w:rPr>
          <w:rFonts w:hint="eastAsia" w:ascii="宋体" w:hAnsi="宋体" w:cs="Courier New"/>
          <w:color w:val="000000"/>
          <w:sz w:val="24"/>
          <w:szCs w:val="24"/>
          <w:highlight w:val="none"/>
          <w:lang w:eastAsia="zh-CN"/>
        </w:rPr>
        <w:t xml:space="preserve">终身维修</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lang w:val="en-US" w:eastAsia="zh-CN"/>
        </w:rPr>
        <w:t xml:space="preserve">维修配件</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折提供</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lang w:val="en-US" w:eastAsia="zh-CN"/>
        </w:rPr>
        <w:t xml:space="preserve">保修费用为</w:t>
      </w:r>
      <w:r>
        <w:rPr>
          <w:rFonts w:hint="eastAsia" w:ascii="宋体" w:hAnsi="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元/年.台</w:t>
      </w:r>
      <w:r/>
    </w:p>
    <w:p>
      <w:pPr>
        <w:ind w:firstLine="480"/>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11.1甲方依法组织履约验收工作。</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11.3对于实际使用人和甲方分离的项目，甲方邀请实际使用人参与验收。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11.5甲方成立验收小组，按照采购合同的约定对乙方的履约情况进行验收。验收时间、验收标准见招标文件验收内容。验收时</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甲方按照采购合同的约定对每一项技术、商务要求的履约情况进行确认。验收结束后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列明各项标准的验收情况及项目总体评价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11.6验收合格的项目</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highlight w:val="none"/>
          <w:lang w:eastAsia="zh-CN"/>
        </w:rPr>
        <w:t xml:space="preserve">中华人民共和国民法典</w:t>
      </w:r>
      <w:r>
        <w:rPr>
          <w:rFonts w:hint="eastAsia" w:ascii="宋体" w:hAnsi="宋体" w:cs="Courier New"/>
          <w:color w:val="000000"/>
          <w:sz w:val="24"/>
          <w:szCs w:val="24"/>
          <w:highlight w:val="none"/>
        </w:rPr>
        <w:t xml:space="preserve">》。乙方在履约过程中有政府采购法律法规规定的违法违规情形的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甲方将及时报告本级财政部门。</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、货物</w:t>
      </w:r>
      <w:r>
        <w:rPr>
          <w:rFonts w:hint="eastAsia" w:ascii="宋体" w:hAnsi="宋体" w:cs="Courier New"/>
          <w:b/>
          <w:color w:val="000000"/>
          <w:sz w:val="24"/>
          <w:szCs w:val="24"/>
          <w:highlight w:val="none"/>
        </w:rPr>
        <w:t xml:space="preserve">的</w:t>
      </w:r>
      <w:r>
        <w:rPr>
          <w:rFonts w:ascii="宋体" w:hAnsi="宋体" w:cs="Courier New"/>
          <w:b/>
          <w:color w:val="000000"/>
          <w:sz w:val="24"/>
          <w:szCs w:val="24"/>
          <w:highlight w:val="none"/>
        </w:rPr>
        <w:t xml:space="preserve">包装、发运及运输</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.1乙方应在货物发运前对其进行满足运输距离、防潮、防震、防锈和防破损装卸等要求包装，以保证货物安全运达甲方指定地点。</w:t>
      </w:r>
      <w:r>
        <w:rPr>
          <w:rFonts w:hint="eastAsia" w:ascii="宋体" w:hAnsi="宋体"/>
          <w:color w:val="000000"/>
          <w:sz w:val="24"/>
          <w:szCs w:val="24"/>
          <w:highlight w:val="none"/>
        </w:rPr>
        <w:t xml:space="preserve">乙方对货物的包装应符合《商品包装政府采购需求标准（试行）</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快递包装政府采购需求标准（试行）》的规定。</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.2使用说明书、质量检验证明书、随配附件和工具以及清单一并附于货物内。</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.3乙方在货物发运手续办理完毕后24小时内或货到甲方48小时前通知甲方，以准备接货。</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.4货物在交付甲方前发生的风险均由乙方负责。</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.5货物在规定的交付期限内由乙方送达甲方指定的地点视为交付，乙方同时需通知甲方货物已送达。</w:t>
      </w:r>
      <w:r/>
    </w:p>
    <w:p>
      <w:pPr>
        <w:pStyle w:val="760"/>
        <w:ind w:firstLine="470"/>
        <w:rPr>
          <w:b/>
          <w:bCs/>
          <w:color w:val="auto"/>
          <w:highlight w:val="none"/>
        </w:rPr>
      </w:pPr>
      <w:r>
        <w:rPr>
          <w:rFonts w:hint="eastAsia" w:ascii="宋体" w:hAnsi="宋体" w:eastAsia="宋体" w:cs="宋体"/>
          <w:b/>
          <w:bCs/>
          <w:i w:val="0"/>
          <w:iCs w:val="0"/>
          <w:color w:val="auto"/>
          <w:sz w:val="24"/>
          <w:szCs w:val="24"/>
          <w:highlight w:val="none"/>
          <w:u w:val="none"/>
          <w:lang w:val="en-US" w:eastAsia="zh-CN" w:bidi="ar"/>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、违约责任</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.1甲方无正当理由拒收货物的，甲方向乙方偿付拒收货款总值</w:t>
      </w:r>
      <w:r>
        <w:rPr>
          <w:rFonts w:hint="eastAsia" w:ascii="宋体" w:hAnsi="宋体" w:cs="Courier New"/>
          <w:color w:val="000000"/>
          <w:sz w:val="24"/>
          <w:szCs w:val="24"/>
          <w:highlight w:val="none"/>
          <w:u w:val="none"/>
          <w:lang w:val="en-US" w:eastAsia="zh-CN"/>
        </w:rPr>
        <w:t xml:space="preserve">10%</w:t>
      </w:r>
      <w:r>
        <w:rPr>
          <w:rFonts w:ascii="宋体" w:hAnsi="宋体" w:cs="Courier New"/>
          <w:color w:val="000000"/>
          <w:sz w:val="24"/>
          <w:szCs w:val="24"/>
          <w:highlight w:val="none"/>
        </w:rPr>
        <w:t xml:space="preserve">的违约金。</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.2甲方无故逾期验收和办理货款支付手续的</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甲方应按逾期付款总额每日</w:t>
      </w:r>
      <w:r>
        <w:rPr>
          <w:rFonts w:hint="eastAsia" w:ascii="宋体" w:hAnsi="宋体" w:cs="Courier New"/>
          <w:color w:val="000000"/>
          <w:sz w:val="24"/>
          <w:szCs w:val="24"/>
          <w:highlight w:val="none"/>
          <w:lang w:val="en-US" w:eastAsia="zh-CN"/>
        </w:rPr>
        <w:t xml:space="preserve">万分之一</w:t>
      </w:r>
      <w:r>
        <w:rPr>
          <w:rFonts w:ascii="宋体" w:hAnsi="宋体" w:cs="Courier New"/>
          <w:color w:val="000000"/>
          <w:sz w:val="24"/>
          <w:szCs w:val="24"/>
          <w:highlight w:val="none"/>
        </w:rPr>
        <w:t xml:space="preserve">向乙方支付违约金。</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.3乙方逾期交付货物的，乙方应按逾期交货总额每日千分之</w:t>
      </w:r>
      <w:r>
        <w:rPr>
          <w:rFonts w:hint="eastAsia" w:ascii="宋体" w:hAnsi="宋体" w:cs="Courier New"/>
          <w:color w:val="000000"/>
          <w:sz w:val="24"/>
          <w:szCs w:val="24"/>
          <w:highlight w:val="none"/>
          <w:lang w:val="en-US" w:eastAsia="zh-CN"/>
        </w:rPr>
        <w:t xml:space="preserve">一</w:t>
      </w:r>
      <w:r>
        <w:rPr>
          <w:rFonts w:ascii="宋体" w:hAnsi="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30%</w:t>
      </w:r>
      <w:r>
        <w:rPr>
          <w:rFonts w:ascii="宋体" w:hAnsi="宋体" w:cs="Courier New"/>
          <w:color w:val="000000"/>
          <w:sz w:val="24"/>
          <w:szCs w:val="24"/>
          <w:highlight w:val="none"/>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60"/>
        <w:ind w:firstLine="47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13.5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pStyle w:val="760"/>
        <w:ind w:firstLine="47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13.6保证半年之内</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省内同配置</w:t>
      </w:r>
      <w:r>
        <w:rPr>
          <w:rFonts w:hint="eastAsia" w:ascii="宋体" w:hAnsi="宋体" w:eastAsia="宋体" w:cs="宋体"/>
          <w:b/>
          <w:bCs/>
          <w:sz w:val="24"/>
          <w:szCs w:val="24"/>
          <w:highlight w:val="none"/>
        </w:rPr>
        <w:t xml:space="preserve">项目成交价</w:t>
      </w:r>
      <w:r>
        <w:rPr>
          <w:rFonts w:hint="eastAsia" w:ascii="宋体" w:hAnsi="宋体" w:eastAsia="宋体" w:cs="宋体"/>
          <w:b/>
          <w:bCs/>
          <w:sz w:val="24"/>
          <w:szCs w:val="24"/>
          <w:highlight w:val="none"/>
          <w:lang w:val="en-US" w:eastAsia="zh-CN"/>
        </w:rPr>
        <w:t xml:space="preserve">无低于本项目成交</w:t>
      </w:r>
      <w:r>
        <w:rPr>
          <w:rFonts w:hint="eastAsia" w:ascii="宋体" w:hAnsi="宋体" w:eastAsia="宋体" w:cs="宋体"/>
          <w:b/>
          <w:bCs/>
          <w:sz w:val="24"/>
          <w:szCs w:val="24"/>
          <w:highlight w:val="none"/>
        </w:rPr>
        <w:t xml:space="preserve">价，如有违约从尾款中扣除差价</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如差价大于未付款额度，乙方按差额补足退回至甲方账户或双方协商解决。</w:t>
      </w:r>
      <w:r/>
    </w:p>
    <w:p>
      <w:pPr>
        <w:pStyle w:val="760"/>
        <w:ind w:firstLine="470"/>
        <w:rPr>
          <w:b/>
          <w:bCs/>
          <w:highlight w:val="none"/>
        </w:rPr>
      </w:pPr>
      <w:r>
        <w:rPr>
          <w:rFonts w:hint="eastAsia" w:ascii="宋体" w:hAnsi="宋体" w:eastAsia="宋体" w:cs="宋体"/>
          <w:b/>
          <w:bCs/>
          <w:sz w:val="24"/>
          <w:szCs w:val="24"/>
          <w:highlight w:val="none"/>
        </w:rPr>
        <w:t xml:space="preserve">13.7如果</w:t>
      </w:r>
      <w:r>
        <w:rPr>
          <w:rFonts w:hint="eastAsia" w:ascii="宋体" w:hAnsi="宋体" w:eastAsia="宋体" w:cs="宋体"/>
          <w:b/>
          <w:bCs/>
          <w:sz w:val="24"/>
          <w:szCs w:val="24"/>
          <w:highlight w:val="none"/>
          <w:lang w:val="en-US" w:eastAsia="zh-CN"/>
        </w:rPr>
        <w:t xml:space="preserve">乙</w:t>
      </w:r>
      <w:r>
        <w:rPr>
          <w:rFonts w:hint="eastAsia" w:ascii="宋体" w:hAnsi="宋体" w:eastAsia="宋体" w:cs="宋体"/>
          <w:b/>
          <w:bCs/>
          <w:sz w:val="24"/>
          <w:szCs w:val="24"/>
          <w:highlight w:val="none"/>
        </w:rPr>
        <w:t xml:space="preserve">方在合同履行完毕之前破产或无清偿能力，</w:t>
      </w:r>
      <w:r>
        <w:rPr>
          <w:rFonts w:hint="eastAsia" w:ascii="宋体" w:hAnsi="宋体" w:eastAsia="宋体" w:cs="宋体"/>
          <w:b/>
          <w:bCs/>
          <w:sz w:val="24"/>
          <w:szCs w:val="24"/>
          <w:highlight w:val="none"/>
          <w:lang w:val="en-US" w:eastAsia="zh-CN"/>
        </w:rPr>
        <w:t xml:space="preserve">甲方</w:t>
      </w:r>
      <w:r>
        <w:rPr>
          <w:rFonts w:hint="eastAsia" w:ascii="宋体" w:hAnsi="宋体" w:eastAsia="宋体" w:cs="宋体"/>
          <w:b/>
          <w:bCs/>
          <w:sz w:val="24"/>
          <w:szCs w:val="24"/>
          <w:highlight w:val="none"/>
        </w:rPr>
        <w:t xml:space="preserve">可在任何时候以书面形式通知</w:t>
      </w:r>
      <w:r>
        <w:rPr>
          <w:rFonts w:hint="eastAsia" w:ascii="宋体" w:hAnsi="宋体" w:eastAsia="宋体" w:cs="宋体"/>
          <w:b/>
          <w:bCs/>
          <w:sz w:val="24"/>
          <w:szCs w:val="24"/>
          <w:highlight w:val="none"/>
          <w:lang w:val="en-US" w:eastAsia="zh-CN"/>
        </w:rPr>
        <w:t xml:space="preserve">乙</w:t>
      </w:r>
      <w:r>
        <w:rPr>
          <w:rFonts w:hint="eastAsia" w:ascii="宋体" w:hAnsi="宋体" w:eastAsia="宋体" w:cs="宋体"/>
          <w:b/>
          <w:bCs/>
          <w:sz w:val="24"/>
          <w:szCs w:val="24"/>
          <w:highlight w:val="none"/>
        </w:rPr>
        <w:t xml:space="preserve">方，提出解除合同。该终止合同将不损害或影响</w:t>
      </w:r>
      <w:r>
        <w:rPr>
          <w:rFonts w:hint="eastAsia" w:ascii="宋体" w:hAnsi="宋体" w:eastAsia="宋体" w:cs="宋体"/>
          <w:b/>
          <w:bCs/>
          <w:sz w:val="24"/>
          <w:szCs w:val="24"/>
          <w:highlight w:val="none"/>
          <w:lang w:val="en-US" w:eastAsia="zh-CN"/>
        </w:rPr>
        <w:t xml:space="preserve">甲方</w:t>
      </w:r>
      <w:r>
        <w:rPr>
          <w:rFonts w:hint="eastAsia" w:ascii="宋体" w:hAnsi="宋体" w:eastAsia="宋体" w:cs="宋体"/>
          <w:b/>
          <w:bCs/>
          <w:sz w:val="24"/>
          <w:szCs w:val="24"/>
          <w:highlight w:val="none"/>
        </w:rPr>
        <w:t xml:space="preserve">已经采取或将要采取的任何行动或补救措施的权利。</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、不可抗力事件处理</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.2不可抗力事件发生后，应立即通知对方，并寄送有关权威机构出具的证明。</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.3不可抗力事件延续120天以上，双方应通过友好协商，确定是否继续履行合同。</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五</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w:t>
      </w: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甲乙</w:t>
      </w:r>
      <w:r>
        <w:rPr>
          <w:rFonts w:ascii="宋体" w:hAnsi="宋体" w:cs="Courier New"/>
          <w:color w:val="000000"/>
          <w:sz w:val="24"/>
          <w:szCs w:val="24"/>
          <w:highlight w:val="none"/>
        </w:rPr>
        <w:t xml:space="preserve">双方</w:t>
      </w:r>
      <w:r>
        <w:rPr>
          <w:rFonts w:hint="eastAsia" w:ascii="宋体" w:hAnsi="宋体" w:cs="Courier New"/>
          <w:color w:val="000000"/>
          <w:sz w:val="24"/>
          <w:szCs w:val="24"/>
          <w:highlight w:val="none"/>
        </w:rPr>
        <w:t xml:space="preserve">因</w:t>
      </w:r>
      <w:r>
        <w:rPr>
          <w:rFonts w:ascii="宋体" w:hAnsi="宋体" w:cs="Courier New"/>
          <w:color w:val="000000"/>
          <w:sz w:val="24"/>
          <w:szCs w:val="24"/>
          <w:highlight w:val="none"/>
        </w:rPr>
        <w:t xml:space="preserve">合同</w:t>
      </w:r>
      <w:r>
        <w:rPr>
          <w:rFonts w:hint="eastAsia" w:ascii="宋体" w:hAnsi="宋体" w:cs="Courier New"/>
          <w:color w:val="000000"/>
          <w:sz w:val="24"/>
          <w:szCs w:val="24"/>
          <w:highlight w:val="none"/>
        </w:rPr>
        <w:t xml:space="preserve">签订、履行而</w:t>
      </w:r>
      <w:r>
        <w:rPr>
          <w:rFonts w:ascii="宋体" w:hAnsi="宋体" w:cs="Courier New"/>
          <w:color w:val="000000"/>
          <w:sz w:val="24"/>
          <w:szCs w:val="24"/>
          <w:highlight w:val="none"/>
        </w:rPr>
        <w:t xml:space="preserve">发生的一切争议，应通过</w:t>
      </w:r>
      <w:r>
        <w:rPr>
          <w:rFonts w:hint="eastAsia" w:ascii="宋体" w:hAnsi="宋体" w:cs="Courier New"/>
          <w:color w:val="000000"/>
          <w:sz w:val="24"/>
          <w:szCs w:val="24"/>
          <w:highlight w:val="none"/>
        </w:rPr>
        <w:t xml:space="preserve">友好</w:t>
      </w:r>
      <w:r>
        <w:rPr>
          <w:rFonts w:ascii="宋体" w:hAnsi="宋体" w:cs="Courier New"/>
          <w:color w:val="000000"/>
          <w:sz w:val="24"/>
          <w:szCs w:val="24"/>
          <w:highlight w:val="none"/>
        </w:rPr>
        <w:t xml:space="preserve">协商解决。如协商不成</w:t>
      </w:r>
      <w:r>
        <w:rPr>
          <w:rFonts w:hint="eastAsia" w:ascii="宋体" w:hAnsi="宋体" w:cs="Courier New"/>
          <w:color w:val="000000"/>
          <w:sz w:val="24"/>
          <w:szCs w:val="24"/>
          <w:highlight w:val="none"/>
        </w:rPr>
        <w:t xml:space="preserve">由甲方住所地人民</w:t>
      </w:r>
      <w:r>
        <w:rPr>
          <w:rFonts w:ascii="宋体" w:hAnsi="宋体" w:cs="Courier New"/>
          <w:color w:val="000000"/>
          <w:sz w:val="24"/>
          <w:szCs w:val="24"/>
          <w:highlight w:val="none"/>
        </w:rPr>
        <w:t xml:space="preserve">法院</w:t>
      </w:r>
      <w:r>
        <w:rPr>
          <w:rFonts w:hint="eastAsia" w:ascii="宋体" w:hAnsi="宋体" w:cs="Courier New"/>
          <w:color w:val="000000"/>
          <w:sz w:val="24"/>
          <w:szCs w:val="24"/>
          <w:highlight w:val="none"/>
        </w:rPr>
        <w:t xml:space="preserve">管辖。</w:t>
      </w:r>
      <w:r/>
    </w:p>
    <w:p>
      <w:pPr>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六</w:t>
      </w:r>
      <w:r>
        <w:rPr>
          <w:rFonts w:ascii="宋体" w:hAnsi="宋体" w:cs="Courier New"/>
          <w:b/>
          <w:color w:val="000000"/>
          <w:sz w:val="24"/>
          <w:szCs w:val="24"/>
          <w:highlight w:val="none"/>
        </w:rPr>
        <w:t xml:space="preserve">、合同生效</w:t>
      </w:r>
      <w:r>
        <w:rPr>
          <w:rFonts w:hint="eastAsia" w:ascii="宋体" w:hAnsi="宋体" w:cs="Courier New"/>
          <w:b/>
          <w:color w:val="000000"/>
          <w:sz w:val="24"/>
          <w:szCs w:val="24"/>
          <w:highlight w:val="none"/>
          <w:lang w:eastAsia="zh-CN"/>
        </w:rPr>
        <w:t xml:space="preserve">及其他</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.1合同经双方法定代表人或授权委托代</w:t>
      </w:r>
      <w:r>
        <w:rPr>
          <w:rFonts w:hint="eastAsia" w:ascii="宋体" w:hAnsi="宋体" w:cs="Courier New"/>
          <w:color w:val="000000"/>
          <w:sz w:val="24"/>
          <w:szCs w:val="24"/>
          <w:highlight w:val="none"/>
        </w:rPr>
        <w:t xml:space="preserve">表</w:t>
      </w:r>
      <w:r>
        <w:rPr>
          <w:rFonts w:ascii="宋体" w:hAnsi="宋体" w:cs="Courier New"/>
          <w:color w:val="000000"/>
          <w:sz w:val="24"/>
          <w:szCs w:val="24"/>
          <w:highlight w:val="none"/>
        </w:rPr>
        <w:t xml:space="preserve">人签字并加盖单位公章后生效。</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.2本合同未尽事宜，遵照</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eastAsia="zh-CN"/>
        </w:rPr>
        <w:t xml:space="preserve">中华人民共和国民法典》《中华人民共和国政府采购法</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有关条文执行。</w:t>
      </w:r>
      <w:r/>
    </w:p>
    <w:p>
      <w:pPr>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本合同正本</w:t>
      </w:r>
      <w:r>
        <w:rPr>
          <w:rFonts w:hint="eastAsia" w:ascii="宋体" w:hAnsi="宋体" w:cs="Courier New"/>
          <w:color w:val="000000"/>
          <w:sz w:val="24"/>
          <w:szCs w:val="24"/>
          <w:highlight w:val="none"/>
          <w:lang w:eastAsia="zh-CN"/>
        </w:rPr>
        <w:t xml:space="preserve">一式四份</w:t>
      </w:r>
      <w:r>
        <w:rPr>
          <w:rFonts w:ascii="宋体" w:hAnsi="宋体" w:cs="Courier New"/>
          <w:color w:val="000000"/>
          <w:sz w:val="24"/>
          <w:szCs w:val="24"/>
          <w:highlight w:val="none"/>
        </w:rPr>
        <w:t xml:space="preserve">，具有同等法律效力，甲</w:t>
      </w:r>
      <w:r>
        <w:rPr>
          <w:rFonts w:hint="eastAsia" w:ascii="宋体" w:hAnsi="宋体" w:cs="Courier New"/>
          <w:color w:val="000000"/>
          <w:sz w:val="24"/>
          <w:szCs w:val="24"/>
          <w:highlight w:val="none"/>
        </w:rPr>
        <w:t xml:space="preserve">方</w:t>
      </w:r>
      <w:r>
        <w:rPr>
          <w:rFonts w:hint="eastAsia" w:ascii="宋体" w:hAnsi="宋体" w:cs="Courier New"/>
          <w:color w:val="000000"/>
          <w:sz w:val="24"/>
          <w:szCs w:val="24"/>
          <w:highlight w:val="none"/>
          <w:lang w:val="en-US" w:eastAsia="zh-CN"/>
        </w:rPr>
        <w:t xml:space="preserve">叁份</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乙方</w:t>
      </w:r>
      <w:r>
        <w:rPr>
          <w:rFonts w:hint="eastAsia" w:ascii="宋体" w:hAnsi="宋体" w:cs="Courier New"/>
          <w:color w:val="000000"/>
          <w:sz w:val="24"/>
          <w:szCs w:val="24"/>
          <w:highlight w:val="none"/>
          <w:lang w:val="en-US" w:eastAsia="zh-CN"/>
        </w:rPr>
        <w:t xml:space="preserve">壹</w:t>
      </w:r>
      <w:r>
        <w:rPr>
          <w:rFonts w:ascii="宋体" w:hAnsi="宋体" w:cs="Courier New"/>
          <w:color w:val="000000"/>
          <w:sz w:val="24"/>
          <w:szCs w:val="24"/>
          <w:highlight w:val="none"/>
        </w:rPr>
        <w:t xml:space="preserve">份。</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十七、合同附件</w:t>
      </w:r>
      <w:r/>
    </w:p>
    <w:p>
      <w:pPr>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17.1配置清单</w:t>
      </w:r>
      <w:r/>
    </w:p>
    <w:p>
      <w:pPr>
        <w:ind w:firstLine="480"/>
        <w:keepLines w:val="0"/>
        <w:keepNext w:val="0"/>
        <w:pageBreakBefore w:val="0"/>
        <w:spacing w:line="360" w:lineRule="auto"/>
        <w:widowControl w:val="off"/>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17.2药品、器械采供廉政协议书</w:t>
      </w:r>
      <w:r/>
    </w:p>
    <w:p>
      <w:pPr>
        <w:ind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甲方：                        乙方： </w:t>
      </w:r>
      <w:r/>
    </w:p>
    <w:p>
      <w:pPr>
        <w:ind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p>
    <w:p>
      <w:pPr>
        <w:ind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Courier New" w:cs="Courier New"/>
          <w:color w:val="000000"/>
          <w:highlight w:val="none"/>
        </w:rPr>
      </w:pPr>
      <w:r>
        <w:rPr>
          <w:rFonts w:hint="eastAsia" w:ascii="宋体" w:hAnsi="宋体" w:cs="Courier New"/>
          <w:color w:val="000000"/>
          <w:sz w:val="24"/>
          <w:szCs w:val="24"/>
          <w:highlight w:val="none"/>
        </w:rPr>
        <w:t xml:space="preserve">联系电话：                    联系电话：          </w:t>
      </w:r>
      <w:r/>
    </w:p>
    <w:p>
      <w:pPr>
        <w:ind w:firstLine="480"/>
        <w:keepLines w:val="0"/>
        <w:keepNext w:val="0"/>
        <w:pageBreakBefore w:val="0"/>
        <w:spacing w:line="36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乙</w:t>
      </w:r>
      <w:r>
        <w:rPr>
          <w:rFonts w:hint="eastAsia" w:ascii="宋体" w:hAnsi="宋体" w:eastAsia="宋体" w:cs="Courier New"/>
          <w:color w:val="000000"/>
          <w:sz w:val="24"/>
          <w:szCs w:val="24"/>
          <w:highlight w:val="none"/>
        </w:rPr>
        <w:t xml:space="preserve">方户名：</w:t>
      </w:r>
      <w:r>
        <w:rPr>
          <w:rFonts w:hint="eastAsia" w:ascii="宋体" w:hAnsi="宋体" w:eastAsia="宋体" w:cs="Courier New"/>
          <w:color w:val="000000"/>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乙</w:t>
      </w:r>
      <w:r>
        <w:rPr>
          <w:rFonts w:hint="eastAsia" w:ascii="宋体" w:hAnsi="宋体" w:eastAsia="宋体" w:cs="Courier New"/>
          <w:color w:val="000000"/>
          <w:sz w:val="24"/>
          <w:szCs w:val="24"/>
          <w:highlight w:val="none"/>
        </w:rPr>
        <w:t xml:space="preserve">方开户银行：</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 </w:t>
      </w:r>
      <w:r/>
    </w:p>
    <w:p>
      <w:pPr>
        <w:ind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乙</w:t>
      </w:r>
      <w:r>
        <w:rPr>
          <w:rFonts w:hint="eastAsia" w:ascii="宋体" w:hAnsi="宋体" w:eastAsia="宋体" w:cs="Courier New"/>
          <w:color w:val="000000"/>
          <w:sz w:val="24"/>
          <w:szCs w:val="24"/>
          <w:highlight w:val="none"/>
        </w:rPr>
        <w:t xml:space="preserve">方</w:t>
      </w:r>
      <w:r>
        <w:rPr>
          <w:rFonts w:hint="eastAsia" w:ascii="宋体" w:hAnsi="宋体" w:eastAsia="宋体" w:cs="Courier New"/>
          <w:color w:val="000000"/>
          <w:sz w:val="24"/>
          <w:szCs w:val="24"/>
          <w:highlight w:val="none"/>
          <w:lang w:eastAsia="zh-CN"/>
        </w:rPr>
        <w:t xml:space="preserve">账号</w:t>
      </w:r>
      <w:r>
        <w:rPr>
          <w:rFonts w:hint="eastAsia" w:ascii="宋体" w:hAnsi="宋体" w:eastAsia="宋体" w:cs="Courier New"/>
          <w:color w:val="000000"/>
          <w:sz w:val="24"/>
          <w:szCs w:val="24"/>
          <w:highlight w:val="none"/>
        </w:rPr>
        <w:t xml:space="preserve">：               </w:t>
      </w:r>
      <w:r>
        <w:rPr>
          <w:rFonts w:hint="eastAsia" w:ascii="宋体" w:hAnsi="Courier New" w:cs="Courier New"/>
          <w:color w:val="000000"/>
          <w:highlight w:val="none"/>
        </w:rPr>
        <w:t xml:space="preserve">  </w:t>
      </w:r>
      <w:r>
        <w:rPr>
          <w:rFonts w:hint="eastAsia" w:ascii="宋体" w:hAnsi="宋体" w:cs="Courier New"/>
          <w:color w:val="000000"/>
          <w:sz w:val="24"/>
          <w:szCs w:val="24"/>
          <w:highlight w:val="none"/>
        </w:rPr>
        <w:t xml:space="preserve">   </w:t>
      </w:r>
      <w:r/>
    </w:p>
    <w:p>
      <w:pPr>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r>
      <w:r/>
    </w:p>
    <w:p>
      <w:pPr>
        <w:ind w:firstLine="384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p>
    <w:p>
      <w:pPr>
        <w:jc w:val="both"/>
        <w:rPr>
          <w:rFonts w:hint="eastAsia"/>
          <w:highlight w:val="none"/>
          <w:lang w:eastAsia="zh-CN"/>
        </w:rPr>
      </w:pPr>
      <w:r>
        <w:rPr>
          <w:rFonts w:hint="eastAsia" w:ascii="宋体" w:hAnsi="宋体" w:eastAsia="宋体" w:cs="宋体"/>
          <w:b/>
          <w:bCs/>
          <w:sz w:val="32"/>
          <w:szCs w:val="32"/>
          <w:highlight w:val="none"/>
          <w:lang w:val="en-US" w:eastAsia="zh-CN"/>
        </w:rPr>
        <w:t xml:space="preserve">附件一：</w:t>
      </w:r>
      <w:r>
        <w:rPr>
          <w:rFonts w:hint="eastAsia" w:ascii="宋体" w:hAnsi="宋体" w:eastAsia="宋体" w:cs="宋体"/>
          <w:b/>
          <w:bCs/>
          <w:sz w:val="32"/>
          <w:szCs w:val="32"/>
          <w:highlight w:val="none"/>
          <w:lang w:eastAsia="zh-CN"/>
        </w:rPr>
        <w:t xml:space="preserve">配置清单（</w:t>
      </w:r>
      <w:r>
        <w:rPr>
          <w:rFonts w:hint="eastAsia" w:ascii="宋体" w:hAnsi="宋体" w:eastAsia="宋体" w:cs="宋体"/>
          <w:b/>
          <w:bCs/>
          <w:sz w:val="32"/>
          <w:szCs w:val="32"/>
          <w:highlight w:val="none"/>
          <w:lang w:val="en-US" w:eastAsia="zh-CN"/>
        </w:rPr>
        <w:t xml:space="preserve">格式自拟</w:t>
      </w:r>
      <w:r>
        <w:rPr>
          <w:rFonts w:hint="eastAsia" w:ascii="宋体" w:hAnsi="宋体" w:eastAsia="宋体" w:cs="宋体"/>
          <w:b/>
          <w:bCs/>
          <w:sz w:val="32"/>
          <w:szCs w:val="32"/>
          <w:highlight w:val="none"/>
          <w:lang w:eastAsia="zh-CN"/>
        </w:rPr>
        <w:t xml:space="preserve">）</w:t>
      </w:r>
      <w:r/>
    </w:p>
    <w:p>
      <w:pPr>
        <w:rPr>
          <w:highlight w:val="none"/>
        </w:rPr>
      </w:pPr>
      <w:r>
        <w:rPr>
          <w:rFonts w:hint="eastAsia"/>
          <w:b/>
          <w:bCs/>
          <w:sz w:val="32"/>
          <w:highlight w:val="none"/>
        </w:rPr>
        <w:t xml:space="preserve">附件二、廉政协议书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一、双方的责任</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1.严格遵守国家关于市场准入、产品采购、招标投标、生产销售和市场活动等有关</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，相关政策，以及廉政建设的各项规定。</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2.严格执行</w:t>
      </w:r>
      <w:r>
        <w:rPr>
          <w:rFonts w:hint="eastAsia" w:ascii="宋体" w:hAnsi="宋体" w:eastAsia="宋体" w:cs="宋体"/>
          <w:sz w:val="24"/>
          <w:szCs w:val="24"/>
          <w:highlight w:val="none"/>
          <w:lang w:val="en-US" w:eastAsia="zh-CN"/>
        </w:rPr>
        <w:t xml:space="preserve">无锡市人民医院</w:t>
      </w:r>
      <w:r>
        <w:rPr>
          <w:rFonts w:hint="eastAsia" w:ascii="宋体" w:hAnsi="宋体" w:eastAsia="宋体" w:cs="宋体"/>
          <w:sz w:val="24"/>
          <w:szCs w:val="24"/>
          <w:highlight w:val="none"/>
        </w:rPr>
        <w:t xml:space="preserve">的采购制度，自觉按采购程序办事。</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二、甲方的义务</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1.甲方及其工作人员不得索要或接受乙方的礼金、有价证券、贵重物品及回扣、好处费、感谢费等。</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2.甲方及其工作人员不得在乙方报销任何应由甲方或个人支付的费用。</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3.甲方及其工作人员不得参加乙方安排的可能影响公正采购的宴请、旅游和娱乐活动</w:t>
      </w:r>
      <w:r>
        <w:rPr>
          <w:rFonts w:hint="eastAsia" w:ascii="宋体" w:hAnsi="宋体" w:eastAsia="宋体" w:cs="宋体"/>
          <w:sz w:val="24"/>
          <w:szCs w:val="24"/>
          <w:highlight w:val="none"/>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4.甲方及其工作人员不得接受乙方提供的通讯工具、交通工具和高档办公用品等。</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6.甲方及其工作人员不得向乙方介绍其家属、亲友从事与甲方业务有关的经济活动。</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7.甲方工作人员发现乙方</w:t>
      </w:r>
      <w:r>
        <w:rPr>
          <w:rFonts w:hint="eastAsia" w:ascii="宋体" w:hAnsi="宋体" w:eastAsia="宋体" w:cs="宋体"/>
          <w:sz w:val="24"/>
          <w:szCs w:val="24"/>
          <w:highlight w:val="none"/>
          <w:lang w:val="en-US" w:eastAsia="zh-CN"/>
        </w:rPr>
        <w:t xml:space="preserve">有违反</w:t>
      </w:r>
      <w:r>
        <w:rPr>
          <w:rFonts w:hint="eastAsia" w:ascii="宋体" w:hAnsi="宋体" w:eastAsia="宋体" w:cs="宋体"/>
          <w:sz w:val="24"/>
          <w:szCs w:val="24"/>
          <w:highlight w:val="none"/>
        </w:rPr>
        <w:t xml:space="preserve">廉洁</w:t>
      </w:r>
      <w:r>
        <w:rPr>
          <w:rFonts w:hint="eastAsia" w:ascii="宋体" w:hAnsi="宋体" w:eastAsia="宋体" w:cs="宋体"/>
          <w:sz w:val="24"/>
          <w:szCs w:val="24"/>
          <w:highlight w:val="none"/>
          <w:lang w:val="en-US" w:eastAsia="zh-CN"/>
        </w:rPr>
        <w:t xml:space="preserve">要求的</w:t>
      </w:r>
      <w:r>
        <w:rPr>
          <w:rFonts w:hint="eastAsia" w:ascii="宋体" w:hAnsi="宋体" w:eastAsia="宋体" w:cs="宋体"/>
          <w:sz w:val="24"/>
          <w:szCs w:val="24"/>
          <w:highlight w:val="none"/>
        </w:rPr>
        <w:t xml:space="preserve">行为，应及时提醒乙方纠正。情节严重的，应向领导或有关部门报告。</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三、乙方的义务</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1.乙方不得以任何理由向甲方及其工作人员行贿或馈赠礼金、有价证券、贵重礼品。</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2.乙方不得以任何名义为甲方及其工作人员报销应由甲方单位或个人支付的任何费用。</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3.乙方不得以任何理由安排甲方及其工作人员参加宴请、旅游和娱乐活动。</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4.乙方不得为甲方单位和个人购置或提供通讯工具、交通工具和高档办公用品等物品。</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5.乙方</w:t>
      </w:r>
      <w:r>
        <w:rPr>
          <w:rFonts w:hint="eastAsia" w:ascii="宋体" w:hAnsi="宋体" w:eastAsia="宋体" w:cs="宋体"/>
          <w:sz w:val="24"/>
          <w:szCs w:val="24"/>
          <w:highlight w:val="none"/>
          <w:lang w:val="en-US" w:eastAsia="zh-CN"/>
        </w:rPr>
        <w:t xml:space="preserve">自觉遵守《无锡市人民医院供应商管理办法》要求，如有违反自愿接受相应处理。</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若发现甲方工作人员有违反廉政规定的行为，应及时向</w:t>
      </w:r>
      <w:r>
        <w:rPr>
          <w:rFonts w:hint="eastAsia" w:ascii="宋体" w:hAnsi="宋体" w:eastAsia="宋体" w:cs="宋体"/>
          <w:sz w:val="24"/>
          <w:szCs w:val="24"/>
          <w:highlight w:val="none"/>
          <w:lang w:val="en-US" w:eastAsia="zh-CN"/>
        </w:rPr>
        <w:t xml:space="preserve">医院行风、</w:t>
      </w:r>
      <w:r>
        <w:rPr>
          <w:rFonts w:hint="eastAsia" w:ascii="宋体" w:hAnsi="宋体" w:eastAsia="宋体" w:cs="宋体"/>
          <w:sz w:val="24"/>
          <w:szCs w:val="24"/>
          <w:highlight w:val="none"/>
        </w:rPr>
        <w:t xml:space="preserve">纪检监察部门举报；如</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工作人员向乙方索贿，乙方应向</w:t>
      </w:r>
      <w:r>
        <w:rPr>
          <w:rFonts w:hint="eastAsia" w:ascii="宋体" w:hAnsi="宋体" w:eastAsia="宋体" w:cs="宋体"/>
          <w:sz w:val="24"/>
          <w:szCs w:val="24"/>
          <w:highlight w:val="none"/>
          <w:lang w:val="en-US" w:eastAsia="zh-CN"/>
        </w:rPr>
        <w:t xml:space="preserve">医院行风、</w:t>
      </w:r>
      <w:r>
        <w:rPr>
          <w:rFonts w:hint="eastAsia" w:ascii="宋体" w:hAnsi="宋体" w:eastAsia="宋体" w:cs="宋体"/>
          <w:sz w:val="24"/>
          <w:szCs w:val="24"/>
          <w:highlight w:val="none"/>
        </w:rPr>
        <w:t xml:space="preserve">纪检监察部门举报，不得迎合。</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四、违约责任</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1.甲方及其工作人员违反本廉政协议的，按管理权限，依据有关规定给予党纪、</w:t>
      </w:r>
      <w:r>
        <w:rPr>
          <w:rFonts w:hint="eastAsia" w:ascii="宋体" w:hAnsi="宋体" w:eastAsia="宋体" w:cs="宋体"/>
          <w:sz w:val="24"/>
          <w:szCs w:val="24"/>
          <w:highlight w:val="none"/>
          <w:lang w:val="en-US" w:eastAsia="zh-CN"/>
        </w:rPr>
        <w:t xml:space="preserve">政务、行政处分</w:t>
      </w:r>
      <w:r>
        <w:rPr>
          <w:rFonts w:hint="eastAsia" w:ascii="宋体" w:hAnsi="宋体" w:eastAsia="宋体" w:cs="宋体"/>
          <w:sz w:val="24"/>
          <w:szCs w:val="24"/>
          <w:highlight w:val="none"/>
        </w:rPr>
        <w:t xml:space="preserve">或组织处理；涉嫌犯罪的，移交司法机关追究刑事责任。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2.乙方及其工作人员违反本廉政协议的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依据情节严重程度，采取约谈，列入供应商黑名单管理</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直至</w:t>
      </w:r>
      <w:r>
        <w:rPr>
          <w:rFonts w:hint="eastAsia" w:ascii="宋体" w:hAnsi="宋体" w:eastAsia="宋体" w:cs="宋体"/>
          <w:sz w:val="24"/>
          <w:szCs w:val="24"/>
          <w:highlight w:val="none"/>
        </w:rPr>
        <w:t xml:space="preserve">取消其在</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的供应商资格；给</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造成经济损失的，应予以赔偿；情节严重的</w:t>
      </w:r>
      <w:r>
        <w:rPr>
          <w:rFonts w:hint="eastAsia" w:ascii="宋体" w:hAnsi="宋体" w:eastAsia="宋体" w:cs="宋体"/>
          <w:sz w:val="24"/>
          <w:szCs w:val="24"/>
          <w:highlight w:val="none"/>
          <w:lang w:eastAsia="zh-CN"/>
        </w:rPr>
        <w:t xml:space="preserve">，由</w:t>
      </w: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向</w:t>
      </w:r>
      <w:r>
        <w:rPr>
          <w:rFonts w:hint="eastAsia" w:ascii="宋体" w:hAnsi="宋体" w:eastAsia="宋体" w:cs="宋体"/>
          <w:sz w:val="24"/>
          <w:szCs w:val="24"/>
          <w:highlight w:val="none"/>
        </w:rPr>
        <w:t xml:space="preserve">有关主管部门</w:t>
      </w:r>
      <w:r>
        <w:rPr>
          <w:rFonts w:hint="eastAsia" w:ascii="宋体" w:hAnsi="宋体" w:eastAsia="宋体" w:cs="宋体"/>
          <w:sz w:val="24"/>
          <w:szCs w:val="24"/>
          <w:highlight w:val="none"/>
          <w:lang w:val="en-US" w:eastAsia="zh-CN"/>
        </w:rPr>
        <w:t xml:space="preserve">通报，建议</w:t>
      </w:r>
      <w:r>
        <w:rPr>
          <w:rFonts w:hint="eastAsia" w:ascii="宋体" w:hAnsi="宋体" w:eastAsia="宋体" w:cs="宋体"/>
          <w:sz w:val="24"/>
          <w:szCs w:val="24"/>
          <w:highlight w:val="none"/>
        </w:rPr>
        <w:t xml:space="preserve">给予乙方相应的行政处罚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五、争议解决</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本协议在履行过程中发生的争议，由双方协商解决；协商不成的，任何一方可向</w:t>
      </w:r>
      <w:r>
        <w:rPr>
          <w:rFonts w:hint="eastAsia" w:ascii="宋体" w:hAnsi="宋体" w:eastAsia="宋体" w:cs="宋体"/>
          <w:sz w:val="24"/>
          <w:szCs w:val="24"/>
          <w:highlight w:val="none"/>
          <w:lang w:val="en-US" w:eastAsia="zh-CN"/>
        </w:rPr>
        <w:t xml:space="preserve">甲方所在地</w:t>
      </w:r>
      <w:r>
        <w:rPr>
          <w:rFonts w:hint="eastAsia" w:ascii="宋体" w:hAnsi="宋体" w:eastAsia="宋体" w:cs="宋体"/>
          <w:sz w:val="24"/>
          <w:szCs w:val="24"/>
          <w:highlight w:val="none"/>
        </w:rPr>
        <w:t xml:space="preserve">人民法院提起诉讼。</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六、其他事项</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1.本协议书作为采购合同的附件，与采购合同具有同等法律效力。</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2.本协议书自双方签字（盖章）之日起生效，至采购合同履行完毕止。</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3.本协议书一式</w:t>
      </w:r>
      <w:r>
        <w:rPr>
          <w:rFonts w:hint="eastAsia" w:ascii="宋体" w:hAnsi="宋体" w:eastAsia="宋体" w:cs="宋体"/>
          <w:sz w:val="24"/>
          <w:szCs w:val="24"/>
          <w:highlight w:val="none"/>
          <w:lang w:val="en-US" w:eastAsia="zh-CN"/>
        </w:rPr>
        <w:t xml:space="preserve">贰</w:t>
      </w:r>
      <w:r>
        <w:rPr>
          <w:rFonts w:hint="eastAsia" w:ascii="宋体" w:hAnsi="宋体" w:eastAsia="宋体" w:cs="宋体"/>
          <w:sz w:val="24"/>
          <w:szCs w:val="24"/>
          <w:highlight w:val="none"/>
        </w:rPr>
        <w:t xml:space="preserve">份，甲乙双方各执一份</w:t>
      </w:r>
      <w:r>
        <w:rPr>
          <w:rFonts w:hint="eastAsia" w:ascii="宋体" w:hAnsi="宋体" w:eastAsia="宋体" w:cs="宋体"/>
          <w:sz w:val="24"/>
          <w:szCs w:val="24"/>
          <w:highlight w:val="none"/>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甲方（盖章）：</w:t>
      </w:r>
      <w:r>
        <w:rPr>
          <w:rFonts w:hint="eastAsia" w:ascii="宋体" w:hAnsi="宋体" w:eastAsia="宋体" w:cs="宋体"/>
          <w:sz w:val="24"/>
          <w:szCs w:val="24"/>
          <w:highlight w:val="none"/>
          <w:lang w:val="en-US" w:eastAsia="zh-CN"/>
        </w:rPr>
        <w:t xml:space="preserve">无锡市人民医院</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乙方（盖章）：</w:t>
      </w:r>
      <w:r/>
    </w:p>
    <w:p>
      <w:pPr>
        <w:ind w:firstLine="48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代表人签字：</w:t>
      </w:r>
      <w:r/>
    </w:p>
    <w:p>
      <w:pPr>
        <w:ind w:firstLine="480"/>
        <w:spacing w:line="400" w:lineRule="exact"/>
        <w:rPr>
          <w:rFonts w:hint="eastAsia" w:ascii="宋体" w:hAnsi="宋体"/>
          <w:sz w:val="22"/>
          <w:szCs w:val="22"/>
          <w:highlight w:val="none"/>
          <w:lang w:val="en-US" w:eastAsia="zh-CN"/>
        </w:rPr>
      </w:pPr>
      <w:r>
        <w:rPr>
          <w:rFonts w:hint="eastAsia" w:ascii="宋体" w:hAnsi="宋体" w:eastAsia="宋体" w:cs="宋体"/>
          <w:sz w:val="24"/>
          <w:szCs w:val="24"/>
          <w:highlight w:val="none"/>
        </w:rPr>
        <w:t xml:space="preserve">签订日期：___年___月___日</w:t>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0"/>
        <w:jc w:val="left"/>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40"/>
        <w:jc w:val="center"/>
        <w:rPr>
          <w:rFonts w:eastAsia="黑体"/>
          <w:color w:val="auto"/>
          <w:sz w:val="44"/>
          <w:szCs w:val="44"/>
          <w:highlight w:val="none"/>
        </w:rPr>
      </w:pPr>
      <w:r>
        <w:rPr>
          <w:rFonts w:hint="eastAsia" w:ascii="黑体" w:eastAsia="黑体"/>
          <w:bCs/>
          <w:color w:val="auto"/>
          <w:sz w:val="36"/>
          <w:szCs w:val="36"/>
          <w:highlight w:val="none"/>
        </w:rPr>
        <w:t xml:space="preserve">第</w:t>
      </w:r>
      <w:bookmarkEnd w:id="182"/>
      <w:r>
        <w:rPr>
          <w:rFonts w:hint="eastAsia" w:ascii="黑体" w:eastAsia="黑体"/>
          <w:bCs/>
          <w:color w:val="auto"/>
          <w:sz w:val="36"/>
          <w:szCs w:val="36"/>
          <w:highlight w:val="none"/>
        </w:rPr>
        <w:t xml:space="preserve">四章 采购需求</w:t>
      </w:r>
      <w:bookmarkEnd w:id="183"/>
      <w:r/>
      <w:bookmarkEnd w:id="184"/>
      <w:r/>
      <w:bookmarkEnd w:id="185"/>
      <w:r/>
      <w:r/>
    </w:p>
    <w:p>
      <w:pPr>
        <w:ind w:firstLine="480"/>
        <w:spacing w:line="360" w:lineRule="auto"/>
        <w:rPr>
          <w:rFonts w:hint="eastAsia" w:ascii="宋体" w:hAnsi="宋体"/>
          <w:bCs/>
          <w:color w:val="auto"/>
          <w:sz w:val="24"/>
          <w:szCs w:val="24"/>
          <w:highlight w:val="none"/>
        </w:rPr>
      </w:pPr>
      <w:r/>
      <w:bookmarkStart w:id="188" w:name="_Toc49090575"/>
      <w:r/>
      <w:bookmarkStart w:id="189" w:name="_Toc26554093"/>
      <w:r>
        <w:rPr>
          <w:rFonts w:hint="eastAsia" w:ascii="宋体" w:hAnsi="宋体"/>
          <w:bCs/>
          <w:color w:val="auto"/>
          <w:sz w:val="24"/>
          <w:szCs w:val="24"/>
          <w:highlight w:val="none"/>
        </w:rPr>
        <w:t xml:space="preserve">本项目属性：货物类项目</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ascii="宋体" w:hAnsi="宋体"/>
          <w:bCs/>
          <w:color w:val="auto"/>
          <w:sz w:val="24"/>
          <w:szCs w:val="24"/>
          <w:highlight w:val="none"/>
        </w:rPr>
        <w:t xml:space="preserve"> 工业</w:t>
      </w:r>
      <w:r>
        <w:rPr>
          <w:rFonts w:hint="eastAsia" w:ascii="宋体" w:hAnsi="宋体"/>
          <w:bCs/>
          <w:color w:val="auto"/>
          <w:sz w:val="24"/>
          <w:szCs w:val="24"/>
          <w:highlight w:val="none"/>
        </w:rPr>
        <w:t xml:space="preserve">（制造业）</w:t>
      </w:r>
      <w:r/>
    </w:p>
    <w:p>
      <w:pPr>
        <w:ind w:firstLine="480"/>
        <w:spacing w:line="360" w:lineRule="auto"/>
        <w:rPr>
          <w:rFonts w:hint="eastAsia"/>
          <w:color w:val="auto"/>
          <w:highlight w:val="none"/>
        </w:rPr>
      </w:pPr>
      <w:r>
        <w:rPr>
          <w:rFonts w:hint="eastAsia" w:ascii="宋体" w:hAnsi="宋体"/>
          <w:bCs/>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彩色多普勒超声诊断仪（心超）</w:t>
      </w:r>
      <w:r>
        <w:rPr>
          <w:rFonts w:hint="eastAsia" w:ascii="宋体" w:hAnsi="宋体"/>
          <w:bCs/>
          <w:color w:val="auto"/>
          <w:sz w:val="24"/>
          <w:szCs w:val="24"/>
          <w:highlight w:val="none"/>
        </w:rPr>
        <w:t xml:space="preserve">为核心产品。</w:t>
      </w:r>
      <w:r/>
    </w:p>
    <w:p>
      <w:pPr>
        <w:ind w:firstLine="600"/>
        <w:jc w:val="left"/>
        <w:spacing w:line="360" w:lineRule="auto"/>
        <w:rPr>
          <w:rFonts w:hint="eastAsia" w:ascii="黑体" w:hAnsi="黑体" w:eastAsia="黑体"/>
          <w:color w:val="auto"/>
          <w:sz w:val="30"/>
          <w:szCs w:val="30"/>
          <w:highlight w:val="none"/>
          <w:u w:val="none"/>
        </w:rPr>
      </w:pPr>
      <w:r>
        <w:rPr>
          <w:rFonts w:hint="eastAsia" w:ascii="黑体" w:hAnsi="黑体" w:eastAsia="黑体"/>
          <w:color w:val="auto"/>
          <w:sz w:val="30"/>
          <w:szCs w:val="30"/>
          <w:highlight w:val="none"/>
          <w:u w:val="none"/>
        </w:rPr>
        <w:t xml:space="preserve">第一部分  项目技术要求</w:t>
      </w:r>
      <w:r/>
    </w:p>
    <w:p>
      <w:pPr>
        <w:ind w:firstLine="480"/>
        <w:jc w:val="left"/>
        <w:spacing w:line="360" w:lineRule="auto"/>
        <w:rPr>
          <w:rFonts w:hint="default" w:ascii="宋体" w:hAnsi="宋体" w:eastAsia="宋体" w:cs="宋体"/>
          <w:i/>
          <w:iCs/>
          <w:sz w:val="24"/>
          <w:szCs w:val="24"/>
          <w:highlight w:val="yellow"/>
          <w:u w:val="single"/>
          <w:lang w:val="en-US" w:eastAsia="zh-CN"/>
        </w:rPr>
      </w:pPr>
      <w:r>
        <w:rPr>
          <w:rFonts w:hint="eastAsia" w:ascii="宋体" w:hAnsi="宋体"/>
          <w:bCs/>
          <w:i/>
          <w:iCs/>
          <w:color w:val="000000" w:themeColor="text1"/>
          <w:sz w:val="24"/>
          <w:szCs w:val="24"/>
          <w:highlight w:val="none"/>
          <w:u w:val="single"/>
          <w14:textFill>
            <w14:solidFill>
              <w14:schemeClr w14:val="tx1"/>
            </w14:solidFill>
          </w14:textFill>
        </w:rPr>
        <w:t xml:space="preserve">★</w:t>
      </w:r>
      <w:r>
        <w:rPr>
          <w:rFonts w:hint="eastAsia" w:ascii="宋体" w:hAnsi="宋体" w:cs="宋体"/>
          <w:bCs/>
          <w:i/>
          <w:iCs/>
          <w:sz w:val="24"/>
          <w:szCs w:val="24"/>
          <w:highlight w:val="none"/>
          <w:u w:val="single"/>
        </w:rPr>
        <w:t xml:space="preserve">投标人所投内容必须满足以下要求，并如实地在《投标偏离表》中按招标文件“采购需求”中</w:t>
      </w:r>
      <w:r>
        <w:rPr>
          <w:rFonts w:hint="eastAsia" w:ascii="宋体" w:hAnsi="宋体" w:cs="宋体"/>
          <w:bCs/>
          <w:i/>
          <w:iCs/>
          <w:color w:val="000000" w:themeColor="text1"/>
          <w:sz w:val="24"/>
          <w:szCs w:val="24"/>
          <w:highlight w:val="none"/>
          <w:u w:val="single"/>
          <w14:textFill>
            <w14:solidFill>
              <w14:schemeClr w14:val="tx1"/>
            </w14:solidFill>
          </w14:textFill>
        </w:rPr>
        <w:t xml:space="preserve">“技术参数及配置清单”“其他要求”</w:t>
      </w:r>
      <w:r>
        <w:rPr>
          <w:rFonts w:hint="eastAsia" w:ascii="宋体" w:hAnsi="宋体" w:cs="宋体"/>
          <w:bCs/>
          <w:i/>
          <w:iCs/>
          <w:sz w:val="24"/>
          <w:szCs w:val="24"/>
          <w:highlight w:val="none"/>
          <w:u w:val="single"/>
        </w:rPr>
        <w:t xml:space="preserve">内容逐条标明满足与否，并对其真实性负责</w:t>
      </w:r>
      <w:r>
        <w:rPr>
          <w:rFonts w:hint="eastAsia" w:ascii="宋体" w:hAnsi="宋体" w:cs="宋体"/>
          <w:bCs/>
          <w:i/>
          <w:iCs/>
          <w:sz w:val="24"/>
          <w:szCs w:val="24"/>
          <w:highlight w:val="none"/>
          <w:u w:val="single"/>
          <w:lang w:eastAsia="zh-CN"/>
        </w:rPr>
        <w:t xml:space="preserve">，技术参数的偏离不得改变该产品的性能和使用</w:t>
      </w:r>
      <w:r>
        <w:rPr>
          <w:rFonts w:hint="eastAsia" w:ascii="宋体" w:hAnsi="宋体" w:cs="宋体"/>
          <w:bCs/>
          <w:i/>
          <w:iCs/>
          <w:sz w:val="24"/>
          <w:szCs w:val="24"/>
          <w:highlight w:val="none"/>
          <w:u w:val="single"/>
        </w:rPr>
        <w:t xml:space="preserve">。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cs="宋体"/>
          <w:bCs/>
          <w:i/>
          <w:iCs/>
          <w:sz w:val="24"/>
          <w:szCs w:val="24"/>
          <w:highlight w:val="none"/>
          <w:u w:val="single"/>
          <w:lang w:val="en-US" w:eastAsia="zh-CN"/>
        </w:rPr>
        <w:t xml:space="preserve">佐证材料需明确来源出处备查（提供查询方法）。</w:t>
      </w:r>
      <w:r/>
    </w:p>
    <w:p>
      <w:pPr>
        <w:ind w:firstLine="482"/>
        <w:keepLines w:val="0"/>
        <w:keepNext w:val="0"/>
        <w:pageBreakBefore w:val="0"/>
        <w:spacing w:line="336"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★一、技术参数及配置清单</w:t>
      </w:r>
      <w:r>
        <w:rPr>
          <w:u w:val="single"/>
        </w:rPr>
      </w:r>
      <w:r/>
    </w:p>
    <w:tbl>
      <w:tblPr>
        <w:tblStyle w:val="723"/>
        <w:tblW w:w="99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6"/>
        <w:gridCol w:w="9094"/>
      </w:tblGrid>
      <w:tr>
        <w:trPr>
          <w:trHeight w:val="31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项目名称：彩色多普勒超声诊断仪（心超）</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数量：3套</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适用范围：主要用于心脏等部位超声诊断</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基本配置</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主机3台</w:t>
            </w:r>
            <w:r>
              <w:rPr>
                <w:rFonts w:hint="eastAsia" w:ascii="宋体" w:hAnsi="宋体" w:cs="宋体"/>
                <w:i w:val="0"/>
                <w:iCs w:val="0"/>
                <w:color w:val="000000"/>
                <w:sz w:val="24"/>
                <w:szCs w:val="24"/>
                <w:u w:val="none"/>
                <w:lang w:val="en-US" w:eastAsia="zh-CN" w:bidi="ar"/>
              </w:rPr>
              <w:t xml:space="preserve">，提供医疗器械注册证</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二维成人心脏相控阵探头（经胸）3把 </w:t>
            </w:r>
            <w:r>
              <w:rPr>
                <w:rFonts w:hint="eastAsia" w:ascii="宋体" w:hAnsi="宋体" w:cs="宋体"/>
                <w:i w:val="0"/>
                <w:iCs w:val="0"/>
                <w:color w:val="000000"/>
                <w:sz w:val="24"/>
                <w:szCs w:val="24"/>
                <w:highlight w:val="none"/>
                <w:u w:val="none"/>
                <w:lang w:val="en-US" w:eastAsia="zh-CN" w:bidi="ar"/>
              </w:rPr>
              <w:t xml:space="preserve">[填写配件报价表（给定格式）]</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三维Mini心脏相控阵探头（经食道）1把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填写配件报价表（给定格式）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三维成人心脏相控阵探头（经胸）3把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填写配件报价表（给定格式）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r>
            <w:r/>
          </w:p>
        </w:tc>
      </w:tr>
      <w:tr>
        <w:trPr>
          <w:trHeight w:val="36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主要技术参数及要求</w:t>
            </w:r>
            <w:r/>
          </w:p>
        </w:tc>
      </w:tr>
      <w:tr>
        <w:trPr>
          <w:trHeight w:val="3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动态范围≥390dB，数字化通道≥4700000</w:t>
            </w:r>
            <w:r/>
          </w:p>
        </w:tc>
      </w:tr>
      <w:tr>
        <w:trPr>
          <w:trHeight w:val="3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TGC增益补偿≥8段，LGC侧向增益补偿≥4段</w:t>
            </w:r>
            <w:r/>
          </w:p>
        </w:tc>
      </w:tr>
      <w:tr>
        <w:trPr>
          <w:trHeight w:val="32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显示器≥22英寸，高清触屏≥12英寸；操作面板可上下左右调整和旋转</w:t>
            </w:r>
            <w:r/>
          </w:p>
        </w:tc>
      </w:tr>
      <w:tr>
        <w:trPr>
          <w:trHeight w:val="3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成像探头接口≥4个，全激活可互换通用</w:t>
            </w:r>
            <w:r/>
          </w:p>
        </w:tc>
      </w:tr>
      <w:tr>
        <w:trPr>
          <w:trHeight w:val="3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最大扫查深度≥50cm，心脏最大深度≥30cm</w:t>
            </w:r>
            <w:r/>
          </w:p>
        </w:tc>
      </w:tr>
      <w:tr>
        <w:trPr>
          <w:trHeight w:val="9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具备2D、M型、彩色、PW、CW、TDI、造影、负荷等多种应用模式</w:t>
            </w:r>
            <w:r/>
          </w:p>
        </w:tc>
      </w:tr>
      <w:tr>
        <w:trPr>
          <w:trHeight w:val="3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支持脉冲波多普勒、连续波多普勒和高脉冲重复频率</w:t>
            </w:r>
            <w:r/>
          </w:p>
        </w:tc>
      </w:tr>
      <w:tr>
        <w:trPr>
          <w:trHeight w:val="3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支持左心室一键容积测量、一键自动定量分析</w:t>
            </w:r>
            <w:r/>
          </w:p>
        </w:tc>
      </w:tr>
      <w:tr>
        <w:trPr>
          <w:trHeight w:val="3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支持实时复合成像技术，支持斑点噪声抑制技术</w:t>
            </w:r>
            <w:r/>
          </w:p>
        </w:tc>
      </w:tr>
      <w:tr>
        <w:trPr>
          <w:trHeight w:val="223"/>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支持实时自动优化图像技术，支持实时获取射血分数技术</w:t>
            </w:r>
            <w:r/>
          </w:p>
        </w:tc>
      </w:tr>
      <w:tr>
        <w:trPr>
          <w:trHeight w:val="3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支持自动心功能分析，支持二维灰阶血流成像技术</w:t>
            </w:r>
            <w:r/>
          </w:p>
        </w:tc>
      </w:tr>
      <w:tr>
        <w:trPr>
          <w:trHeight w:val="3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具备全数字式波束形成器</w:t>
            </w:r>
            <w:r/>
          </w:p>
        </w:tc>
      </w:tr>
      <w:tr>
        <w:trPr>
          <w:trHeight w:val="3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支持心脏频谱自动测量技术</w:t>
            </w:r>
            <w:r/>
          </w:p>
        </w:tc>
      </w:tr>
      <w:tr>
        <w:trPr>
          <w:trHeight w:val="19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支持心尖扩展成像技术、左心室造影技术和负荷超声成像下的左心造影技术</w:t>
            </w:r>
            <w:r/>
          </w:p>
        </w:tc>
      </w:tr>
      <w:tr>
        <w:trPr>
          <w:trHeight w:val="19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支持血管内中膜自动测量（IMT）技术，支持组织多普勒定量分析技术</w:t>
            </w:r>
            <w:r/>
          </w:p>
        </w:tc>
      </w:tr>
      <w:tr>
        <w:trPr>
          <w:trHeight w:val="9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支持实时心肌灌注造影成像、条件触发心肌灌注造影成像功能</w:t>
            </w:r>
            <w:r/>
          </w:p>
        </w:tc>
      </w:tr>
      <w:tr>
        <w:trPr>
          <w:trHeight w:val="9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具有左心房功能定量分析、应变定量功能，且支持一键自动</w:t>
            </w:r>
            <w:r/>
          </w:p>
        </w:tc>
      </w:tr>
      <w:tr>
        <w:trPr>
          <w:trHeight w:val="3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具有右心室应变定量功能，且支持一键自动</w:t>
            </w:r>
            <w:r/>
          </w:p>
        </w:tc>
      </w:tr>
      <w:tr>
        <w:trPr>
          <w:trHeight w:val="3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系统主机内置硬盘≥1TB</w:t>
            </w:r>
            <w:r/>
          </w:p>
        </w:tc>
      </w:tr>
      <w:tr>
        <w:trPr>
          <w:trHeight w:val="30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9094"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可存储和回放动静态图像</w:t>
            </w:r>
            <w:r/>
          </w:p>
        </w:tc>
      </w:tr>
    </w:tbl>
    <w:p>
      <w:pPr>
        <w:keepLines w:val="0"/>
        <w:keepNext w:val="0"/>
        <w:pageBreakBefore w:val="0"/>
        <w:spacing w:line="33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firstLine="482"/>
        <w:spacing w:line="360" w:lineRule="auto"/>
        <w:rPr>
          <w:rFonts w:ascii="宋体" w:cs="宋体"/>
          <w:b/>
          <w:i/>
          <w:iCs/>
          <w:color w:val="000000" w:themeColor="text1"/>
          <w:sz w:val="24"/>
          <w:szCs w:val="24"/>
          <w:highlight w:val="none"/>
          <w:u w:val="single"/>
          <w14:textFill>
            <w14:solidFill>
              <w14:schemeClr w14:val="tx1"/>
            </w14:solidFill>
          </w14:textFill>
        </w:rPr>
      </w:pPr>
      <w:r>
        <w:rPr>
          <w:rFonts w:hint="eastAsia" w:ascii="宋体" w:hAnsi="宋体"/>
          <w:b/>
          <w:i/>
          <w:iCs/>
          <w:color w:val="000000" w:themeColor="text1"/>
          <w:sz w:val="24"/>
          <w:szCs w:val="24"/>
          <w:highlight w:val="none"/>
          <w:u w:val="single"/>
          <w14:textFill>
            <w14:solidFill>
              <w14:schemeClr w14:val="tx1"/>
            </w14:solidFill>
          </w14:textFill>
        </w:rPr>
        <w:t xml:space="preserve">★</w:t>
      </w:r>
      <w:r>
        <w:rPr>
          <w:rFonts w:hint="eastAsia" w:ascii="宋体" w:cs="宋体"/>
          <w:b/>
          <w:i/>
          <w:iCs/>
          <w:color w:val="000000" w:themeColor="text1"/>
          <w:sz w:val="24"/>
          <w:szCs w:val="24"/>
          <w:highlight w:val="none"/>
          <w:u w:val="single"/>
          <w14:textFill>
            <w14:solidFill>
              <w14:schemeClr w14:val="tx1"/>
            </w14:solidFill>
          </w14:textFill>
        </w:rPr>
        <w:t xml:space="preserve">（二）其他要求：</w:t>
      </w:r>
      <w:r/>
    </w:p>
    <w:p>
      <w:pPr>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售后服务（以下条款提供投标人出具的承诺书，格式自拟）：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（1）整机保修≥</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bCs/>
          <w:sz w:val="24"/>
          <w:szCs w:val="24"/>
          <w:highlight w:val="none"/>
        </w:rPr>
        <w:t xml:space="preserve">质保期内每年提供</w:t>
      </w:r>
      <w:r>
        <w:rPr>
          <w:rFonts w:hint="eastAsia" w:ascii="宋体" w:hAnsi="宋体" w:eastAsia="宋体" w:cs="宋体"/>
          <w:bCs/>
          <w:sz w:val="24"/>
          <w:szCs w:val="24"/>
          <w:highlight w:val="none"/>
          <w:lang w:val="en-US" w:eastAsia="zh-CN"/>
        </w:rPr>
        <w:t xml:space="preserve">两</w:t>
      </w:r>
      <w:r>
        <w:rPr>
          <w:rFonts w:hint="eastAsia" w:ascii="宋体" w:hAnsi="宋体" w:eastAsia="宋体" w:cs="宋体"/>
          <w:bCs/>
          <w:sz w:val="24"/>
          <w:szCs w:val="24"/>
          <w:highlight w:val="none"/>
        </w:rPr>
        <w:t xml:space="preserve">次原厂维护</w:t>
      </w:r>
      <w:r>
        <w:rPr>
          <w:rFonts w:hint="eastAsia" w:ascii="宋体" w:hAnsi="宋体" w:eastAsia="宋体" w:cs="宋体"/>
          <w:bCs/>
          <w:sz w:val="24"/>
          <w:szCs w:val="24"/>
          <w:highlight w:val="none"/>
          <w:lang w:val="en-US" w:eastAsia="zh-CN"/>
        </w:rPr>
        <w:t xml:space="preserve">保养，</w:t>
      </w:r>
      <w:r>
        <w:rPr>
          <w:rFonts w:hint="eastAsia" w:ascii="宋体" w:hAnsi="宋体" w:eastAsia="宋体" w:cs="宋体"/>
          <w:color w:val="000000"/>
          <w:sz w:val="24"/>
          <w:szCs w:val="24"/>
          <w:highlight w:val="none"/>
          <w:lang w:val="en-US" w:eastAsia="zh-CN"/>
        </w:rPr>
        <w:t xml:space="preserve">出保后全保价格≤</w:t>
      </w:r>
      <w:r>
        <w:rPr>
          <w:rFonts w:hint="eastAsia" w:ascii="宋体" w:hAnsi="宋体" w:cs="宋体"/>
          <w:color w:val="000000"/>
          <w:sz w:val="24"/>
          <w:szCs w:val="24"/>
          <w:highlight w:val="none"/>
          <w:lang w:val="en-US" w:eastAsia="zh-CN"/>
        </w:rPr>
        <w:t xml:space="preserve">6%成交价</w:t>
      </w:r>
      <w:r>
        <w:rPr>
          <w:rFonts w:hint="eastAsia" w:ascii="宋体" w:hAnsi="宋体" w:eastAsia="宋体" w:cs="宋体"/>
          <w:color w:val="000000"/>
          <w:sz w:val="24"/>
          <w:szCs w:val="24"/>
          <w:highlight w:val="none"/>
          <w:lang w:val="en-US" w:eastAsia="zh-CN"/>
        </w:rPr>
        <w:t xml:space="preserve">。</w:t>
      </w:r>
      <w:r/>
    </w:p>
    <w:p>
      <w:pPr>
        <w:ind w:firstLine="48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rPr>
        <w:t xml:space="preserve">（2）在质保期内，开机率≥95 %，仪器故障要求2小时内应答，12小时到达现场，24小时修复或提供维修方案。</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（3）供应方须具有履行合同所必需的设备和专业技术能力，并配备受过专业培训的售后服务人员。</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（4）为保证设备正常运行，供应方应设置备件库，存入所有必需的备件，并保证10年以上的供应期。</w:t>
      </w:r>
      <w:r/>
    </w:p>
    <w:p>
      <w:pPr>
        <w:ind w:firstLine="480"/>
        <w:spacing w:line="36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u w:val="none"/>
          <w:lang w:val="en-US" w:eastAsia="zh-CN" w:bidi="ar"/>
        </w:rPr>
        <w:t xml:space="preserve">提供24小时报修电话。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w:t>
      </w:r>
      <w:r>
        <w:rPr>
          <w:rFonts w:hint="eastAsia" w:ascii="宋体" w:hAnsi="宋体" w:eastAsia="宋体" w:cs="宋体"/>
          <w:sz w:val="24"/>
          <w:szCs w:val="24"/>
          <w:highlight w:val="none"/>
        </w:rPr>
        <w:t xml:space="preserve">方承担设备初次计量检定/校准费用。</w:t>
      </w:r>
      <w:r/>
    </w:p>
    <w:p>
      <w:pPr>
        <w:pStyle w:val="760"/>
        <w:ind w:left="0"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（7）提供场地设计及规划方案，配合施工及场地验收。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2.交付时间：合同生效之日起或接到院方通知后</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日历日。</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3.验收标准：供方提供的商品必须符合我国最新颁布</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eastAsia="zh-CN"/>
        </w:rPr>
        <w:t xml:space="preserve">与之</w:t>
      </w:r>
      <w:r>
        <w:rPr>
          <w:rFonts w:hint="eastAsia" w:ascii="宋体" w:hAnsi="宋体" w:eastAsia="宋体" w:cs="Times New Roman"/>
          <w:color w:val="000000"/>
          <w:sz w:val="24"/>
          <w:highlight w:val="none"/>
        </w:rPr>
        <w:t xml:space="preserve">相关的技术规范与标准，同时必须满足招标书中所列全部规格、型号、具体配置、技术条件及功能要求和供方承诺</w:t>
      </w:r>
      <w:r>
        <w:rPr>
          <w:rFonts w:hint="eastAsia" w:ascii="宋体" w:hAnsi="宋体" w:eastAsia="宋体" w:cs="Times New Roman"/>
          <w:color w:val="000000"/>
          <w:sz w:val="24"/>
          <w:highlight w:val="none"/>
          <w:lang w:eastAsia="zh-CN"/>
        </w:rPr>
        <w:t xml:space="preserve">的其他指标</w:t>
      </w:r>
      <w:r>
        <w:rPr>
          <w:rFonts w:hint="eastAsia" w:ascii="宋体" w:hAnsi="宋体" w:eastAsia="宋体" w:cs="Times New Roman"/>
          <w:color w:val="000000"/>
          <w:sz w:val="24"/>
          <w:highlight w:val="none"/>
        </w:rPr>
        <w:t xml:space="preserve">；要求进口产品到货日期距仪器生产日期不超过180日历日，国产产品不超过90日历日（以铭牌或说明书确认）。</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（1）履约验收主体：采购人</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（2）履约验收时间：按合同约定完成全部货物的供货，安装调试完成具备验收条件后的5个工作日内组织验收。</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履约验收方式：采购人组织成立验收小组，按照合同约定内容制定履约验收方案并组织现场实物验收及资料验收。如有必要，甲方可委托第三方专业机构及专家参与验收，相关意见将作为验收单的参考资料。</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履约验收程序：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5.交货条件：产品交货时，包装完整无破损，还必须提供以下材料</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（1）装箱单</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（2）产品质检合格证明</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（3）供方需要提供进口商品检验检疫证明（进口产品适用）</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（4）需要提供使用维护手册、维修图纸、软件备份、故障代码表、备件清单、零配件、维修密码等维护维修必需的材料和信息 </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6.运输及到货地点：由供方负责办理运输及装卸，直接送至心超室，所有费用由供方承担。</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8.付款方式：</w:t>
      </w:r>
      <w:r>
        <w:rPr>
          <w:rFonts w:hint="eastAsia" w:ascii="宋体" w:hAnsi="宋体" w:eastAsia="宋体" w:cs="宋体"/>
          <w:b/>
          <w:bCs w:val="0"/>
          <w:color w:val="000000"/>
          <w:sz w:val="24"/>
          <w:szCs w:val="24"/>
          <w:highlight w:val="non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国令第 802 号) 及政府采购相关规定执行。</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供方对合同履行过程中所知悉的需方全部文件、资料、信息等负有保密义务。未经采购人书面同意，供方不得擅自披露、泄露、使用或用于本合同约定之外的目的。供方未能按约履行合同保密义务，应当承担由此给采购人造成的全部损失。</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在设备使用年限内（至少10年），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价进行补偿，须提供《关于所投设备的配件、耗材供应情况的承诺函》（参考格式）。</w:t>
      </w:r>
      <w:r/>
    </w:p>
    <w:p>
      <w:pPr>
        <w:pStyle w:val="732"/>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设备随机耗材要求：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pStyle w:val="732"/>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12.具备数字化接口的设备应承诺，设备全生命周期免费开放该接口，由供应商配合与医院信息系统（PACS）相连接。须提供相应承诺书（格式自拟）。</w:t>
      </w:r>
      <w:r/>
    </w:p>
    <w:p>
      <w:pPr>
        <w:pStyle w:val="732"/>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pStyle w:val="732"/>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14.具有汉字字库、中文支持的系统及中文文档的设备应承诺，设备全生命周期免费提供该系统，暂不具备的应承诺如日后具备此系统后免费向用户提供。须提供相应承诺书（格式自拟）。</w:t>
      </w:r>
      <w:r/>
    </w:p>
    <w:p>
      <w:pPr>
        <w:pStyle w:val="732"/>
        <w:ind w:left="0" w:firstLine="600"/>
        <w:keepLines w:val="0"/>
        <w:keepNext w:val="0"/>
        <w:pageBreakBefore w:val="0"/>
        <w:spacing w:line="336" w:lineRule="auto"/>
        <w:rPr>
          <w:rFonts w:asci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u w:val="none"/>
        </w:rPr>
      </w:pPr>
      <w:r>
        <w:rPr>
          <w:rFonts w:hint="eastAsia" w:ascii="宋体" w:hAnsi="宋体"/>
          <w:bCs/>
          <w:color w:val="auto"/>
          <w:sz w:val="24"/>
          <w:highlight w:val="none"/>
          <w:u w:val="none"/>
        </w:rPr>
        <w:t xml:space="preserve">8.本章中标注“★”的条款为本项目的实质性条款，投标人不满足的，将按照无效投标处理。</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bookmarkStart w:id="190" w:name="_Toc120614281"/>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w:t>
      </w:r>
      <w:r>
        <w:rPr>
          <w:rFonts w:hint="eastAsia" w:ascii="宋体" w:hAnsi="宋体"/>
          <w:bCs/>
          <w:color w:val="auto"/>
          <w:sz w:val="24"/>
          <w:highlight w:val="none"/>
          <w:lang w:eastAsia="zh-CN"/>
        </w:rPr>
        <w:t xml:space="preserve">〔2014〕68号</w:t>
      </w:r>
      <w:r>
        <w:rPr>
          <w:rFonts w:hint="eastAsia" w:ascii="宋体" w:hAnsi="宋体"/>
          <w:bCs/>
          <w:color w:val="auto"/>
          <w:sz w:val="24"/>
          <w:highlight w:val="none"/>
        </w:rPr>
        <w:t xml:space="preserve">）的规定提供由省级以上监狱管理局、戒毒管理局（含新疆生产建设兵团）出具的属于监狱企业的证明文件扫描件。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2"/>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2"/>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2"/>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2"/>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2"/>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60"/>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0"/>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87"/>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87"/>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87"/>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87"/>
        <w:spacing w:before="0" w:after="0" w:line="500" w:lineRule="exact"/>
        <w:rPr>
          <w:rStyle w:val="770"/>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87"/>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7"/>
        <w:spacing w:before="0" w:after="0" w:line="500" w:lineRule="exact"/>
        <w:rPr>
          <w:rFonts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87"/>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联合体各方均为小型、微型企业（残疾人福利单位、监狱企业）的，联合体享受10%价格扣除，用扣除后的价格参与评审。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采购本国产品的支持政策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b/>
          <w:color w:val="auto"/>
          <w:sz w:val="28"/>
          <w:szCs w:val="28"/>
          <w:highlight w:val="none"/>
        </w:rPr>
      </w:pPr>
      <w:r>
        <w:rPr>
          <w:rFonts w:hint="eastAsia" w:ascii="宋体" w:hAnsi="宋体"/>
          <w:bCs/>
          <w:color w:val="auto"/>
          <w:sz w:val="24"/>
          <w:szCs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color w:val="auto"/>
          <w:sz w:val="24"/>
          <w:szCs w:val="24"/>
          <w:highlight w:val="none"/>
        </w:rPr>
        <w:br w:type="page" w:clear="all"/>
      </w:r>
      <w:r>
        <w:rPr>
          <w:rFonts w:hint="eastAsia" w:ascii="宋体" w:hAnsi="宋体"/>
          <w:b/>
          <w:color w:val="auto"/>
          <w:sz w:val="28"/>
          <w:szCs w:val="28"/>
          <w:highlight w:val="none"/>
        </w:rPr>
        <w:t xml:space="preserve">   二、评分标准</w:t>
      </w:r>
      <w:r/>
    </w:p>
    <w:p>
      <w:pPr>
        <w:ind w:firstLine="482"/>
        <w:spacing w:line="360" w:lineRule="auto"/>
        <w:tabs>
          <w:tab w:val="left" w:pos="945" w:leader="none"/>
          <w:tab w:val="left" w:pos="1155" w:leader="none"/>
          <w:tab w:val="left" w:pos="3823" w:leader="none"/>
        </w:tabs>
        <w:rPr>
          <w:rFonts w:hint="eastAsia" w:ascii="宋体" w:hAnsi="宋体"/>
          <w:b/>
          <w:color w:val="auto"/>
          <w:sz w:val="28"/>
          <w:szCs w:val="28"/>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第一部分：商务标部分（</w:t>
      </w:r>
      <w:r>
        <w:rPr>
          <w:rFonts w:hint="eastAsia" w:ascii="宋体" w:hAnsi="宋体"/>
          <w:b/>
          <w:color w:val="auto"/>
          <w:sz w:val="24"/>
          <w:szCs w:val="24"/>
          <w:highlight w:val="none"/>
          <w:lang w:val="en-US" w:eastAsia="zh-CN"/>
        </w:rPr>
        <w:t xml:space="preserve">90</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numPr>
          <w:ilvl w:val="0"/>
          <w:numId w:val="0"/>
        </w:numPr>
        <w:ind w:firstLine="482"/>
        <w:keepLines w:val="0"/>
        <w:keepNext w:val="0"/>
        <w:pageBreakBefore w:val="0"/>
        <w:spacing w:line="440" w:lineRule="exact"/>
        <w:widowControl w:val="off"/>
        <w:rPr>
          <w:rFonts w:ascii="宋体" w:hAnsi="宋体" w:cs="宋体"/>
          <w:b/>
          <w:bCs/>
          <w:color w:val="auto"/>
          <w:sz w:val="24"/>
          <w:szCs w:val="24"/>
          <w:highlight w:val="none"/>
        </w:rPr>
        <w:outlineLvl w:val="0"/>
      </w:pPr>
      <w:r>
        <w:rPr>
          <w:rFonts w:hint="default"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rPr>
        <w:t xml:space="preserve">价</w:t>
      </w:r>
      <w:r>
        <w:rPr>
          <w:rFonts w:hint="eastAsia" w:ascii="宋体" w:hAnsi="宋体" w:eastAsia="宋体" w:cs="宋体"/>
          <w:b/>
          <w:bCs/>
          <w:color w:val="auto"/>
          <w:sz w:val="24"/>
          <w:szCs w:val="24"/>
          <w:highlight w:val="none"/>
          <w:lang w:val="en-US" w:eastAsia="zh-CN" w:bidi="ar-SA"/>
        </w:rPr>
        <w:t xml:space="preserve">格（</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以进入评标程序、满足招标文件要求且报价最低的投标报价为评标基准价（须未超过采购预算价），其价格分为满分</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分。其他投标人的价格分统一按照下列公式计算：</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投标报价得分=（评标基准价/投标报价）×</w:t>
      </w:r>
      <w:r>
        <w:rPr>
          <w:rFonts w:hint="eastAsia" w:ascii="宋体" w:hAnsi="宋体"/>
          <w:bCs/>
          <w:color w:val="auto"/>
          <w:sz w:val="24"/>
          <w:szCs w:val="24"/>
          <w:highlight w:val="none"/>
          <w:lang w:val="en-US" w:eastAsia="zh-CN"/>
        </w:rPr>
        <w:t xml:space="preserve">40（</w:t>
      </w:r>
      <w:r>
        <w:rPr>
          <w:rFonts w:hint="eastAsia" w:ascii="宋体" w:hAnsi="宋体"/>
          <w:bCs/>
          <w:color w:val="auto"/>
          <w:sz w:val="24"/>
          <w:szCs w:val="24"/>
          <w:highlight w:val="none"/>
        </w:rPr>
        <w:t xml:space="preserve">保留两位小数</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2"/>
        <w:jc w:val="both"/>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2.产品技术部分（</w:t>
      </w:r>
      <w:r>
        <w:rPr>
          <w:rFonts w:hint="eastAsia" w:ascii="宋体" w:hAnsi="宋体" w:cs="宋体"/>
          <w:b/>
          <w:bCs/>
          <w:color w:val="auto"/>
          <w:sz w:val="24"/>
          <w:szCs w:val="24"/>
          <w:highlight w:val="none"/>
          <w:lang w:val="en-US" w:eastAsia="zh-CN" w:bidi="ar-SA"/>
        </w:rPr>
        <w:t xml:space="preserve">40</w:t>
      </w:r>
      <w:r>
        <w:rPr>
          <w:rFonts w:hint="eastAsia" w:ascii="宋体" w:hAnsi="宋体" w:eastAsia="宋体" w:cs="宋体"/>
          <w:b/>
          <w:bCs/>
          <w:color w:val="auto"/>
          <w:sz w:val="24"/>
          <w:szCs w:val="24"/>
          <w:highlight w:val="none"/>
          <w:lang w:val="en-US" w:eastAsia="zh-CN" w:bidi="ar-SA"/>
        </w:rPr>
        <w:t xml:space="preserve">分）</w:t>
      </w:r>
      <w:r/>
    </w:p>
    <w:p>
      <w:pPr>
        <w:ind w:firstLine="482"/>
        <w:keepLines w:val="0"/>
        <w:keepNext w:val="0"/>
        <w:pageBreakBefore w:val="0"/>
        <w:spacing w:line="440" w:lineRule="exact"/>
        <w:widowControl w:val="off"/>
        <w:rPr>
          <w:rFonts w:hint="eastAsia"/>
          <w:color w:val="auto"/>
          <w:highlight w:val="none"/>
        </w:rPr>
        <w:outlineLvl w:val="0"/>
      </w:pPr>
      <w:r>
        <w:rPr>
          <w:rFonts w:hint="eastAsia" w:ascii="宋体" w:hAnsi="宋体" w:cs="宋体"/>
          <w:color w:val="auto"/>
          <w:sz w:val="24"/>
          <w:szCs w:val="24"/>
          <w:highlight w:val="none"/>
        </w:rPr>
        <w:t xml:space="preserve">以下技术分条款</w:t>
      </w:r>
      <w:r>
        <w:rPr>
          <w:rFonts w:hint="eastAsia" w:ascii="宋体" w:hAnsi="宋体" w:cs="宋体"/>
          <w:b/>
          <w:bCs/>
          <w:color w:val="auto"/>
          <w:sz w:val="24"/>
          <w:szCs w:val="24"/>
          <w:highlight w:val="none"/>
        </w:rPr>
        <w:t xml:space="preserve">必须</w:t>
      </w:r>
      <w:r>
        <w:rPr>
          <w:rFonts w:hint="eastAsia" w:ascii="宋体" w:hAnsi="宋体" w:cs="宋体"/>
          <w:color w:val="auto"/>
          <w:sz w:val="24"/>
          <w:szCs w:val="24"/>
          <w:highlight w:val="none"/>
        </w:rPr>
        <w:t xml:space="preserve">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cs="宋体"/>
          <w:color w:val="auto"/>
          <w:sz w:val="24"/>
          <w:szCs w:val="24"/>
          <w:highlight w:val="none"/>
          <w:lang w:val="en-US" w:eastAsia="zh-CN"/>
        </w:rPr>
        <w:t xml:space="preserve">评分参数</w:t>
      </w:r>
      <w:r>
        <w:rPr>
          <w:rFonts w:hint="eastAsia" w:ascii="宋体" w:hAnsi="宋体" w:cs="宋体"/>
          <w:color w:val="auto"/>
          <w:sz w:val="24"/>
          <w:szCs w:val="24"/>
          <w:highlight w:val="none"/>
        </w:rPr>
        <w:t xml:space="preserve">内容的，评审时不予认可。技术分条款须按对应评分项目（或数字编号）进行自评，注明自评分。</w:t>
      </w:r>
      <w:r/>
    </w:p>
    <w:tbl>
      <w:tblPr>
        <w:tblStyle w:val="72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5"/>
        <w:gridCol w:w="8211"/>
        <w:gridCol w:w="1077"/>
      </w:tblGrid>
      <w:tr>
        <w:trPr>
          <w:trHeight w:val="515"/>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5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评分参数</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r>
      <w:tr>
        <w:trPr>
          <w:trHeight w:val="717"/>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05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配置的3种探头均支持二维心脏造影技术得2分，经食道探头支持三维心脏造影技术得2分，均不支持得0分，最高得4分</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87"/>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05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支持自动追踪二尖瓣随时间运动轨迹，计算瓣环位移随时间变化曲线得2分，支持输出分析报告及参数得2分，均不支持得0分，最高得4分</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383"/>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05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支持通过表面透视内部3D结构、智能切割、三维造影及负荷超声，可完全透明化处理心肌组织得4分，不支持得0分</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05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自动化心脏三维定量功能，通过智能分割和自动边界检测得1分，支持全自动识别追踪左室、左房、右室、右房等结构并以不同色彩标识，无需人工点击图像得1分，同时提供LV、LA容积曲线，测量左室质量，心脏指数得2分，均不支持得0分，最高得4分</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657"/>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05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支持右心室应变和三维定量分析得2分，上述功能支持一键自动获取得4分，均不支持得0分</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05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支持三维重建动态心脏模型得1分，可获取最多6个心动周期模型得1分，均不支持得0分，最高得2分</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050"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经食道Mini心脏相控阵探头尺寸≤7×11mm得2分，频率范围包含4-11Mhz得2分，不符合得0分，最高得4分</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05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支持血流多普勒自动测量得2分，支持自动评估心脏瓣膜功能得2分，最高得4分，均不支持得0分</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05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经食道三维成像角度≥100°×100°得4分，≥90°×90°得2分，其他得0分</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62"/>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405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支持心脏自动多普勒导航测量（提供注册证证明附件）和2D距离测量得2分，不支持得0分</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050"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实时三维成像最大成像角度≥105°×105°得2分，容积速率≥66帧/秒得2分，均不支持得0分，最高得4分</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315"/>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050"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53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r>
    </w:tbl>
    <w:p>
      <w:pPr>
        <w:numPr>
          <w:ilvl w:val="0"/>
          <w:numId w:val="0"/>
        </w:numPr>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outlineLvl w:val="0"/>
      </w:pPr>
      <w:r>
        <w:rPr>
          <w:rFonts w:hint="default" w:ascii="宋体" w:hAnsi="宋体" w:eastAsia="宋体" w:cs="宋体"/>
          <w:b/>
          <w:color w:val="auto"/>
          <w:sz w:val="24"/>
          <w:szCs w:val="24"/>
          <w:highlight w:val="none"/>
          <w:lang w:val="en-US" w:eastAsia="zh-CN" w:bidi="ar-SA"/>
        </w:rPr>
      </w:r>
      <w:r/>
    </w:p>
    <w:p>
      <w:pPr>
        <w:numPr>
          <w:ilvl w:val="0"/>
          <w:numId w:val="0"/>
        </w:num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3.</w:t>
      </w:r>
      <w:r>
        <w:rPr>
          <w:rFonts w:hint="default" w:ascii="宋体" w:hAnsi="宋体" w:eastAsia="宋体" w:cs="宋体"/>
          <w:b/>
          <w:bCs/>
          <w:color w:val="auto"/>
          <w:sz w:val="24"/>
          <w:szCs w:val="24"/>
          <w:highlight w:val="none"/>
          <w:lang w:val="en-US" w:eastAsia="zh-CN" w:bidi="ar-SA"/>
        </w:rPr>
        <w:t xml:space="preserve">售后和服务能力（</w:t>
      </w:r>
      <w:r>
        <w:rPr>
          <w:rFonts w:hint="eastAsia" w:ascii="宋体" w:hAnsi="宋体" w:cs="宋体"/>
          <w:b/>
          <w:bCs/>
          <w:color w:val="auto"/>
          <w:sz w:val="24"/>
          <w:szCs w:val="24"/>
          <w:highlight w:val="none"/>
          <w:lang w:val="en-US" w:eastAsia="zh-CN" w:bidi="ar-SA"/>
        </w:rPr>
        <w:t xml:space="preserve">8</w:t>
      </w:r>
      <w:r>
        <w:rPr>
          <w:rFonts w:hint="default" w:ascii="宋体" w:hAnsi="宋体" w:eastAsia="宋体" w:cs="宋体"/>
          <w:b/>
          <w:bCs/>
          <w:color w:val="auto"/>
          <w:sz w:val="24"/>
          <w:szCs w:val="24"/>
          <w:highlight w:val="none"/>
          <w:lang w:val="en-US" w:eastAsia="zh-CN" w:bidi="ar-SA"/>
        </w:rPr>
        <w:t xml:space="preserve">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en-US" w:eastAsia="zh-CN"/>
        </w:rPr>
        <w:t xml:space="preserve">免费质保期（4分）：以招标文件要求为基准，每多一年加1分，不超过4分。出具《质量保证及售后服务承诺书》（参考格式）。</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en-US" w:eastAsia="zh-CN"/>
        </w:rPr>
        <w:t xml:space="preserve">出保后保修价格（2分）：报价最低得2分，次低者得1分，其他得0分。</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销售业绩及客户评价（2分）：投标人自招标公告发布之日起前 2 年内，与终端用户签订的与本次采购项目同类（心脏超声诊断用彩色多普勒超声诊断仪）的销售业绩：提供本次投标型号产品的销售业绩，每 1 份得 1 分；提供其他同类产品的销售业绩合同复印件，每 1 份得 0.5 分； 本项最多提供 2 份业绩，最高得 2 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4.政策性因素（2分）</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20"/>
        <w:keepLines w:val="0"/>
        <w:keepNext w:val="0"/>
        <w:pageBreakBefore w:val="0"/>
        <w:spacing w:line="360" w:lineRule="auto"/>
        <w:widowControl w:val="off"/>
        <w:rPr>
          <w:rFonts w:eastAsiaTheme="minorEastAsia"/>
          <w:color w:val="auto"/>
          <w:highlight w:val="none"/>
        </w:rPr>
      </w:pPr>
      <w:r>
        <w:rPr>
          <w:rFonts w:eastAsiaTheme="minorEastAsia"/>
          <w:color w:val="auto"/>
          <w:highlight w:val="none"/>
        </w:rPr>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分）（不得有体现投标人身份的内容）</w:t>
      </w:r>
      <w:bookmarkEnd w:id="186"/>
      <w:r/>
      <w:bookmarkEnd w:id="187"/>
      <w:r/>
      <w:bookmarkEnd w:id="188"/>
      <w:r/>
      <w:bookmarkEnd w:id="189"/>
      <w:r/>
      <w:bookmarkEnd w:id="190"/>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1服务方案体系（6分）：投标人保障采购项目能够达到招标文件设定的使用和运行状态而提供的：</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运输配送与场地设计方案（2分）：同时提供完整的运输配送方案（含配送时间表、安全保障制度及赔偿方案）和完整的场地设计方案（含场地要求、现场勘测、施工设计、监督验收方案）得2分；同时提供运输配送方案和场地设计方案，两项均包含基本要素但未达到完整标准得1分；仅提供其中一项方案（运输配送或场地设计），且该方案包含基本要素得0.5分；未提供或方案不明确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安装调试与培训技术支持方案（2分）：同时提供完整的安装调试方案（含内容清单、日程安排、效果验证、现场协同预案）和完整的培训技术支持方案（含培训内容、人员、方式、考核，及技术支持内容、方式、时间效率等制度）得2分；同时提供安装调试方案和培训技术支持方案，两项均包含基本要素但未达到完整标准得1分；仅提供其中一项方案（安装调试或培训技术支持），且该方案包含基本要素得0.5分；未提供或方案不明确得0分。</w:t>
      </w:r>
      <w:r/>
    </w:p>
    <w:p>
      <w:pPr>
        <w:pStyle w:val="760"/>
        <w:ind w:firstLine="468"/>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val="en-US" w:eastAsia="zh-CN" w:bidi="ar-SA"/>
        </w:rPr>
        <w:t xml:space="preserve">1.3维护巡检与维修应急保障方案（2分）：同时提供完整的维护巡检方案（含维护巡检内容、日程安排、人员安排、制度保障）和完整的维修应急保障方案（含报修方式方法、应急保障预案、维修保障承诺）得2分；同时提供维护巡检方案和维修应急保障方案，两项均包含基本要素但未达到完整标准得1分；仅提供其中一项方案（维护巡检或维修应急保障），且该方案包含基本要素得0.5分；未提供或方案不明确得0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2服务保障体系（4分）：</w:t>
      </w:r>
      <w:r/>
    </w:p>
    <w:p>
      <w:pPr>
        <w:pStyle w:val="760"/>
        <w:ind w:firstLine="46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2.1保障服务方案的实施而设立服务机构、人员、装备得2分：提供完整的保障服务机构设置，人员配备，装备配置，响应时效保证得2分，提供明确机构、人员、装备配置得1分，未提供明确装备配置得1分；</w:t>
      </w:r>
      <w:r/>
    </w:p>
    <w:p>
      <w:pPr>
        <w:pStyle w:val="760"/>
        <w:ind w:firstLine="468"/>
        <w:rPr>
          <w:rFonts w:hint="default" w:eastAsia="宋体"/>
          <w:highlight w:val="none"/>
          <w:lang w:val="en-US" w:eastAsia="zh-CN"/>
        </w:rPr>
      </w:pPr>
      <w:r>
        <w:rPr>
          <w:rFonts w:hint="eastAsia" w:ascii="宋体" w:hAnsi="宋体" w:eastAsia="宋体" w:cs="宋体"/>
          <w:color w:val="auto"/>
          <w:sz w:val="24"/>
          <w:szCs w:val="24"/>
          <w:highlight w:val="none"/>
          <w:lang w:val="en-US" w:eastAsia="zh-CN" w:bidi="ar-SA"/>
        </w:rPr>
        <w:t xml:space="preserve">2.2设置服务细则和管理制度得2分：提供完整的服务细则、售后服务管理制度，客户需求响应反馈机制得2分，提供明确服务细则及制度得1分，未提供或明确服务细则及制度得0分。</w:t>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pStyle w:val="732"/>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第六章投标文件内容与格式</w:t>
      </w:r>
      <w:r/>
    </w:p>
    <w:p>
      <w:pPr>
        <w:pStyle w:val="987"/>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cs="Arial"/>
          <w:b/>
          <w:color w:val="000000" w:themeColor="text1"/>
          <w:sz w:val="30"/>
          <w:szCs w:val="30"/>
          <w:highlight w:val="none"/>
          <w14:textFill>
            <w14:solidFill>
              <w14:schemeClr w14:val="tx1"/>
            </w14:solidFill>
          </w14:textFill>
        </w:rPr>
        <w:t xml:space="preserve">第一部分投标文件内容</w:t>
      </w:r>
      <w:r/>
    </w:p>
    <w:p>
      <w:pPr>
        <w:pStyle w:val="987"/>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72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7"/>
              <w:ind w:firstLine="0"/>
              <w:jc w:val="center"/>
              <w:spacing w:before="0" w:after="0" w:line="240" w:lineRule="auto"/>
              <w:rPr>
                <w:rFonts w:ascii="宋体" w:hAnsi="宋体" w:cs="宋体"/>
                <w:b/>
                <w:highlight w:val="none"/>
              </w:rPr>
            </w:pPr>
            <w:r>
              <w:rPr>
                <w:rFonts w:hint="eastAsia" w:ascii="宋体" w:hAnsi="宋体" w:cs="宋体"/>
                <w:b/>
                <w:highlight w:val="none"/>
              </w:rPr>
              <w:t xml:space="preserve">序号</w:t>
            </w:r>
            <w:r/>
          </w:p>
        </w:tc>
        <w:tc>
          <w:tcPr>
            <w:tcW w:w="6104" w:type="dxa"/>
            <w:vAlign w:val="center"/>
            <w:textDirection w:val="lrTb"/>
            <w:noWrap w:val="false"/>
          </w:tcPr>
          <w:p>
            <w:pPr>
              <w:pStyle w:val="987"/>
              <w:jc w:val="center"/>
              <w:spacing w:before="0" w:after="0" w:line="240" w:lineRule="auto"/>
              <w:rPr>
                <w:rFonts w:ascii="宋体" w:hAnsi="宋体" w:cs="宋体"/>
                <w:b/>
                <w:highlight w:val="none"/>
              </w:rPr>
            </w:pPr>
            <w:r>
              <w:rPr>
                <w:rFonts w:hint="eastAsia" w:ascii="宋体" w:hAnsi="宋体" w:cs="宋体"/>
                <w:b/>
                <w:highlight w:val="none"/>
              </w:rPr>
              <w:t xml:space="preserve">评审项目及评审要求</w:t>
            </w:r>
            <w:r/>
          </w:p>
        </w:tc>
        <w:tc>
          <w:tcPr>
            <w:tcW w:w="2449" w:type="dxa"/>
            <w:vAlign w:val="center"/>
            <w:textDirection w:val="lrTb"/>
            <w:noWrap w:val="false"/>
          </w:tcPr>
          <w:p>
            <w:pPr>
              <w:pStyle w:val="987"/>
              <w:ind w:firstLine="0"/>
              <w:jc w:val="center"/>
              <w:spacing w:before="0" w:after="0" w:line="240" w:lineRule="auto"/>
              <w:rPr>
                <w:rFonts w:ascii="宋体" w:hAnsi="宋体" w:cs="宋体"/>
                <w:b/>
                <w:highlight w:val="none"/>
              </w:rPr>
            </w:pPr>
            <w:r>
              <w:rPr>
                <w:rFonts w:hint="eastAsia" w:ascii="宋体" w:hAnsi="宋体" w:cs="宋体"/>
                <w:b/>
                <w:highlight w:val="none"/>
              </w:rPr>
              <w:t xml:space="preserve">审查因素</w:t>
            </w:r>
            <w:r/>
          </w:p>
        </w:tc>
      </w:tr>
      <w:tr>
        <w:trPr>
          <w:cantSplit/>
          <w:jc w:val="center"/>
          <w:trHeight w:val="1335"/>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1</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具有独立承担民事责任能力的投标人营业执照或相关部门的登记证明文件扫描件（投标人</w:t>
            </w:r>
            <w:r>
              <w:rPr>
                <w:rFonts w:hint="eastAsia" w:ascii="宋体" w:hAnsi="宋体" w:cs="宋体"/>
                <w:highlight w:val="none"/>
                <w:lang w:eastAsia="zh-CN"/>
              </w:rPr>
              <w:t xml:space="preserve">如</w:t>
            </w:r>
            <w:r>
              <w:rPr>
                <w:rFonts w:hint="eastAsia" w:ascii="宋体" w:hAnsi="宋体" w:cs="宋体"/>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7"/>
              <w:ind w:firstLine="0"/>
              <w:spacing w:before="0" w:after="0" w:line="240" w:lineRule="auto"/>
              <w:rPr>
                <w:rFonts w:ascii="宋体" w:hAnsi="宋体" w:cs="宋体"/>
                <w:highlight w:val="none"/>
              </w:rPr>
            </w:pPr>
            <w:r>
              <w:rPr>
                <w:rFonts w:hint="eastAsia" w:ascii="宋体" w:hAnsi="宋体" w:cs="宋体"/>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2</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《授权委托书》（给定格式；投标人如是自然人情形的，可不提供）。</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684"/>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3</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98"/>
                <w:rFonts w:hint="eastAsia" w:ascii="宋体" w:hAnsi="宋体" w:cs="宋体"/>
                <w:sz w:val="24"/>
                <w:szCs w:val="24"/>
                <w:highlight w:val="none"/>
              </w:rPr>
              <w:t xml:space="preserve">。</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963"/>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4</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1023"/>
        </w:trPr>
        <w:tc>
          <w:tcPr>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5</w:t>
            </w:r>
            <w:r/>
          </w:p>
        </w:tc>
        <w:tc>
          <w:tcPr>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87"/>
              <w:ind w:firstLine="0"/>
              <w:jc w:val="center"/>
              <w:spacing w:before="0" w:after="0" w:line="240" w:lineRule="auto"/>
              <w:rPr>
                <w:rFonts w:ascii="宋体" w:hAnsi="宋体" w:cs="宋体"/>
                <w:highlight w:val="none"/>
              </w:rPr>
            </w:pPr>
            <w:r>
              <w:rPr>
                <w:rFonts w:hint="eastAsia" w:ascii="宋体" w:hAnsi="宋体" w:cs="宋体"/>
                <w:highlight w:val="none"/>
              </w:rPr>
              <w:t xml:space="preserve">6</w:t>
            </w:r>
            <w:r/>
          </w:p>
        </w:tc>
        <w:tc>
          <w:tcPr>
            <w:tcBorders>
              <w:bottom w:val="single" w:color="000000" w:sz="4" w:space="0"/>
            </w:tcBorders>
            <w:tcW w:w="6104" w:type="dxa"/>
            <w:vAlign w:val="center"/>
            <w:textDirection w:val="lrTb"/>
            <w:noWrap w:val="false"/>
          </w:tcPr>
          <w:p>
            <w:pPr>
              <w:pStyle w:val="987"/>
              <w:ind w:firstLine="0"/>
              <w:jc w:val="both"/>
              <w:spacing w:before="0" w:after="0" w:line="240" w:lineRule="auto"/>
              <w:rPr>
                <w:rFonts w:ascii="宋体" w:hAnsi="宋体" w:cs="宋体"/>
                <w:highlight w:val="none"/>
              </w:rPr>
            </w:pPr>
            <w:r>
              <w:rPr>
                <w:rFonts w:hint="eastAsia" w:ascii="宋体" w:hAnsi="宋体" w:cs="宋体"/>
                <w:highlight w:val="none"/>
              </w:rPr>
              <w:t xml:space="preserve">《资格声明函》（给定格式）。</w:t>
            </w:r>
            <w:r/>
          </w:p>
        </w:tc>
        <w:tc>
          <w:tcPr>
            <w:tcW w:w="2449" w:type="dxa"/>
            <w:vAlign w:val="center"/>
            <w:vMerge w:val="continue"/>
            <w:textDirection w:val="lrTb"/>
            <w:noWrap w:val="false"/>
          </w:tcPr>
          <w:p>
            <w:pPr>
              <w:pStyle w:val="987"/>
              <w:ind w:firstLine="0"/>
              <w:spacing w:before="0" w:after="0" w:line="240" w:lineRule="auto"/>
              <w:rPr>
                <w:rFonts w:ascii="宋体" w:hAnsi="宋体" w:cs="宋体"/>
                <w:highlight w:val="none"/>
              </w:rPr>
            </w:pPr>
            <w:r>
              <w:rPr>
                <w:rFonts w:ascii="宋体" w:hAnsi="宋体" w:cs="宋体"/>
                <w:highlight w:val="none"/>
              </w:rPr>
            </w:r>
            <w:r/>
          </w:p>
        </w:tc>
      </w:tr>
      <w:tr>
        <w:trPr>
          <w:jc w:val="center"/>
          <w:trHeight w:val="700"/>
        </w:trPr>
        <w:tc>
          <w:tcPr>
            <w:tcW w:w="719" w:type="dxa"/>
            <w:vAlign w:val="center"/>
            <w:textDirection w:val="lrTb"/>
            <w:noWrap w:val="false"/>
          </w:tcPr>
          <w:p>
            <w:pPr>
              <w:pStyle w:val="987"/>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7</w:t>
            </w:r>
            <w:r/>
          </w:p>
        </w:tc>
        <w:tc>
          <w:tcPr>
            <w:tcW w:w="6104" w:type="dxa"/>
            <w:vAlign w:val="center"/>
            <w:textDirection w:val="lrTb"/>
            <w:noWrap w:val="false"/>
          </w:tcPr>
          <w:p>
            <w:pPr>
              <w:pStyle w:val="987"/>
              <w:ind w:firstLine="0"/>
              <w:spacing w:before="0" w:after="0" w:line="240" w:lineRule="auto"/>
              <w:rPr>
                <w:rFonts w:ascii="宋体" w:hAnsi="宋体" w:cs="宋体"/>
                <w:bCs/>
                <w:highlight w:val="none"/>
              </w:rPr>
            </w:pPr>
            <w:r>
              <w:rPr>
                <w:rFonts w:hint="eastAsia" w:ascii="宋体" w:hAnsi="宋体" w:cs="宋体"/>
                <w:bCs/>
                <w:highlight w:val="none"/>
              </w:rPr>
              <w:t xml:space="preserve">满足中小企业政策的证明文件（如有中小企业政策要求的）。</w:t>
            </w:r>
            <w:r/>
          </w:p>
        </w:tc>
        <w:tc>
          <w:tcPr>
            <w:tcW w:w="2449" w:type="dxa"/>
            <w:vAlign w:val="center"/>
            <w:textDirection w:val="lrTb"/>
            <w:noWrap w:val="false"/>
          </w:tcPr>
          <w:p>
            <w:pPr>
              <w:pStyle w:val="987"/>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7"/>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8</w:t>
            </w:r>
            <w:r/>
          </w:p>
        </w:tc>
        <w:tc>
          <w:tcPr>
            <w:tcW w:w="6104" w:type="dxa"/>
            <w:vAlign w:val="center"/>
            <w:textDirection w:val="lrTb"/>
            <w:noWrap w:val="false"/>
          </w:tcPr>
          <w:p>
            <w:pPr>
              <w:pStyle w:val="987"/>
              <w:ind w:firstLine="0"/>
              <w:jc w:val="both"/>
              <w:spacing w:before="0" w:after="0" w:line="240" w:lineRule="auto"/>
              <w:rPr>
                <w:rFonts w:ascii="宋体" w:hAnsi="宋体" w:cs="宋体"/>
                <w:bCs/>
                <w:highlight w:val="none"/>
              </w:rPr>
            </w:pPr>
            <w:r>
              <w:rPr>
                <w:rFonts w:hint="eastAsia" w:ascii="宋体" w:hAnsi="宋体" w:cs="宋体"/>
                <w:bCs/>
                <w:highlight w:val="none"/>
              </w:rPr>
              <w:t xml:space="preserve">本项目要求的特定资格证明</w:t>
            </w:r>
            <w:r>
              <w:rPr>
                <w:rFonts w:hint="eastAsia" w:ascii="宋体" w:hAnsi="宋体" w:cs="宋体"/>
                <w:highlight w:val="none"/>
              </w:rPr>
              <w:t xml:space="preserve">文件（如有特定资格要求的）。</w:t>
            </w:r>
            <w:r/>
          </w:p>
        </w:tc>
        <w:tc>
          <w:tcPr>
            <w:tcW w:w="2449" w:type="dxa"/>
            <w:vAlign w:val="center"/>
            <w:textDirection w:val="lrTb"/>
            <w:noWrap w:val="false"/>
          </w:tcPr>
          <w:p>
            <w:pPr>
              <w:pStyle w:val="987"/>
              <w:ind w:firstLine="0"/>
              <w:spacing w:before="0" w:after="0" w:line="240" w:lineRule="auto"/>
              <w:rPr>
                <w:rFonts w:ascii="宋体" w:hAnsi="宋体" w:cs="宋体"/>
                <w:bCs/>
                <w:highlight w:val="none"/>
              </w:rPr>
            </w:pPr>
            <w:r>
              <w:rPr>
                <w:rFonts w:hint="eastAsia" w:ascii="宋体" w:hAnsi="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987"/>
              <w:ind w:firstLine="0"/>
              <w:jc w:val="center"/>
              <w:spacing w:before="0" w:after="0" w:line="240" w:lineRule="auto"/>
              <w:rPr>
                <w:rFonts w:ascii="宋体" w:hAnsi="宋体" w:cs="宋体"/>
                <w:bCs/>
                <w:highlight w:val="none"/>
              </w:rPr>
            </w:pPr>
            <w:r>
              <w:rPr>
                <w:rFonts w:hint="eastAsia" w:ascii="宋体" w:hAnsi="宋体" w:cs="宋体"/>
                <w:bCs/>
                <w:highlight w:val="none"/>
              </w:rPr>
              <w:t xml:space="preserve">9</w:t>
            </w:r>
            <w:r/>
          </w:p>
        </w:tc>
        <w:tc>
          <w:tcPr>
            <w:gridSpan w:val="2"/>
            <w:tcW w:w="8553" w:type="dxa"/>
            <w:vAlign w:val="center"/>
            <w:textDirection w:val="lrTb"/>
            <w:noWrap w:val="false"/>
          </w:tcPr>
          <w:p>
            <w:pPr>
              <w:pStyle w:val="987"/>
              <w:ind w:firstLine="0"/>
              <w:spacing w:before="0" w:after="0" w:line="240" w:lineRule="auto"/>
              <w:rPr>
                <w:rFonts w:ascii="宋体" w:hAnsi="宋体" w:cs="宋体"/>
                <w:highlight w:val="none"/>
              </w:rPr>
            </w:pPr>
            <w:r>
              <w:rPr>
                <w:rFonts w:hint="eastAsia" w:ascii="宋体" w:hAnsi="宋体" w:cs="宋体"/>
                <w:bCs/>
                <w:highlight w:val="non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87"/>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87"/>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987"/>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987"/>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987"/>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《采购需求》中要求须提供的证明文件</w:t>
            </w:r>
            <w:r/>
          </w:p>
        </w:tc>
        <w:tc>
          <w:tcPr>
            <w:tcW w:w="1979" w:type="dxa"/>
            <w:vAlign w:val="center"/>
            <w:vMerge w:val="continue"/>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987"/>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87"/>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987"/>
              <w:ind w:firstLine="0"/>
              <w:jc w:val="center"/>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987"/>
              <w:ind w:firstLine="0"/>
              <w:jc w:val="both"/>
              <w:spacing w:before="0"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87"/>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第二部分投标文件格式</w:t>
      </w:r>
      <w:r/>
    </w:p>
    <w:p>
      <w:pPr>
        <w:pStyle w:val="987"/>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投标文件</w:t>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jc w:val="center"/>
        <w:rPr>
          <w:rFonts w:ascii="宋体" w:hAnsi="宋体"/>
          <w:b/>
          <w:color w:val="000000" w:themeColor="text1"/>
          <w:sz w:val="72"/>
          <w:highlight w:val="none"/>
          <w:shd w:val="clear" w:color="ffffff" w:fill="d9d9d9"/>
          <w14:textFill>
            <w14:solidFill>
              <w14:schemeClr w14:val="tx1"/>
            </w14:solidFill>
          </w14:textFill>
        </w:rPr>
      </w:pPr>
      <w:r>
        <w:rPr>
          <w:rFonts w:ascii="宋体" w:hAnsi="宋体"/>
          <w:b/>
          <w:color w:val="000000" w:themeColor="text1"/>
          <w:sz w:val="72"/>
          <w:highlight w:val="non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JSZC-320200-XWJC-G2026-0037</w:t>
      </w:r>
      <w:r/>
    </w:p>
    <w:p>
      <w:pPr>
        <w:ind w:firstLine="12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无锡市人民医院彩色多普勒超声诊断仪（心超）项目</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JSZC-320200-XWJC-G2026-0037</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85"/>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85"/>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85"/>
        <w:ind w:firstLine="0"/>
        <w:spacing w:line="360" w:lineRule="auto"/>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85"/>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被授权人签字：</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p>
    <w:p>
      <w:pPr>
        <w:pStyle w:val="985"/>
        <w:ind w:firstLine="0"/>
        <w:spacing w:line="360" w:lineRule="auto"/>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985"/>
        <w:ind w:firstLine="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985"/>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985"/>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ascii="宋体" w:hAnsi="宋体" w:eastAsia="宋体" w:cs="宋体"/>
          <w:color w:val="000000"/>
          <w:sz w:val="24"/>
        </w:rPr>
        <w:t xml:space="preserve">当被授权人为法定代表人（或上述情况的单位负责人）时，被授权人相关内容填报未法定代表人（或上述情况的单位负责人）信息，“被授权人签字”处可不用再重复签字或盖章。</w:t>
      </w:r>
      <w:r/>
    </w:p>
    <w:p>
      <w:pPr>
        <w:pStyle w:val="985"/>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985"/>
        <w:numPr>
          <w:ilvl w:val="0"/>
          <w:numId w:val="7"/>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none"/>
          <w:lang w:val="en-US" w:eastAsia="zh-CN"/>
          <w14:textFill>
            <w14:solidFill>
              <w14:schemeClr w14:val="tx1"/>
            </w14:solidFill>
          </w14:textFill>
        </w:rPr>
        <w:t xml:space="preserve">他</w:t>
      </w:r>
      <w:r>
        <w:rPr>
          <w:rFonts w:hint="eastAsia" w:ascii="宋体" w:hAnsi="宋体"/>
          <w:bCs/>
          <w:color w:val="000000" w:themeColor="text1"/>
          <w:sz w:val="24"/>
          <w:szCs w:val="24"/>
          <w:highlight w:val="none"/>
          <w14:textFill>
            <w14:solidFill>
              <w14:schemeClr w14:val="tx1"/>
            </w14:solidFill>
          </w14:textFill>
        </w:rPr>
        <w:t xml:space="preserve">可在中国大陆有效居留的许可证明。</w:t>
      </w:r>
      <w:r/>
    </w:p>
    <w:p>
      <w:pPr>
        <w:pStyle w:val="985"/>
        <w:ind w:firstLine="0"/>
        <w:rPr>
          <w:rFonts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JSZC-320200-XWJC-G2026-0037</w:t>
      </w:r>
      <w:r>
        <w:rPr>
          <w:rFonts w:hint="eastAsia" w:ascii="宋体" w:hAnsi="宋体"/>
          <w:bCs/>
          <w:color w:val="000000" w:themeColor="text1"/>
          <w:sz w:val="24"/>
          <w:szCs w:val="24"/>
          <w:highlight w:val="none"/>
          <w14:textFill>
            <w14:solidFill>
              <w14:schemeClr w14:val="tx1"/>
            </w14:solidFill>
          </w14:textFill>
        </w:rPr>
        <w:t xml:space="preserve">进行投标，并</w:t>
      </w:r>
      <w:r>
        <w:rPr>
          <w:rFonts w:hint="eastAsia" w:ascii="宋体" w:hAnsi="宋体"/>
          <w:bCs/>
          <w:color w:val="000000" w:themeColor="text1"/>
          <w:sz w:val="24"/>
          <w:szCs w:val="24"/>
          <w:highlight w:val="none"/>
          <w:lang w:val="en-US" w:eastAsia="zh-CN"/>
          <w14:textFill>
            <w14:solidFill>
              <w14:schemeClr w14:val="tx1"/>
            </w14:solidFill>
          </w14:textFill>
        </w:rPr>
        <w:t xml:space="preserve">做</w:t>
      </w:r>
      <w:r>
        <w:rPr>
          <w:rFonts w:hint="eastAsia" w:ascii="宋体" w:hAnsi="宋体"/>
          <w:bCs/>
          <w:color w:val="000000" w:themeColor="text1"/>
          <w:sz w:val="24"/>
          <w:szCs w:val="24"/>
          <w:highlight w:val="non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（标的名称）</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63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none"/>
          <w:lang w:val="en-US" w:eastAsia="zh-CN"/>
          <w14:textFill>
            <w14:solidFill>
              <w14:schemeClr w14:val="tx1"/>
            </w14:solidFill>
          </w14:textFill>
        </w:rPr>
        <w:t xml:space="preserve">可</w:t>
      </w:r>
      <w:r>
        <w:rPr>
          <w:rFonts w:hint="eastAsia"/>
          <w:color w:val="000000" w:themeColor="text1"/>
          <w:highlight w:val="non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p>
    <w:p>
      <w:pPr>
        <w:pStyle w:val="756"/>
        <w:ind w:firstLine="420"/>
        <w:spacing w:before="0" w:beforeAutospacing="0" w:after="0" w:afterAutospacing="0" w:line="0" w:lineRule="atLeast"/>
        <w:rPr>
          <w:rFonts w:ascii="方正魏碑_GBK" w:hAnsi="方正魏碑_GBK" w:eastAsia="方正魏碑_GBK" w:cs="方正魏碑_GBK"/>
          <w:color w:val="ff0000"/>
          <w:highlight w:val="cyan"/>
        </w:rPr>
      </w:pPr>
      <w:r>
        <w:rPr>
          <w:rFonts w:ascii="方正魏碑_GBK" w:hAnsi="方正魏碑_GBK" w:eastAsia="方正魏碑_GBK" w:cs="方正魏碑_GBK"/>
          <w:color w:val="ff0000"/>
          <w:highlight w:val="cyan"/>
        </w:rPr>
      </w:r>
      <w:r/>
    </w:p>
    <w:p>
      <w:pPr>
        <w:pStyle w:val="756"/>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763"/>
          <w:rFonts w:hint="eastAsia" w:cs="宋体"/>
          <w:i w:val="0"/>
          <w:iCs w:val="0"/>
          <w:caps w:val="0"/>
          <w:color w:val="333333"/>
          <w:spacing w:val="0"/>
          <w:sz w:val="30"/>
          <w:szCs w:val="30"/>
          <w:shd w:val="clear" w:color="auto" w:fill="ffffff"/>
          <w:lang w:val="en-US" w:eastAsia="zh-CN"/>
        </w:rPr>
        <w:t xml:space="preserve">关</w:t>
      </w:r>
      <w:r>
        <w:rPr>
          <w:rStyle w:val="763"/>
          <w:rFonts w:hint="eastAsia" w:ascii="宋体" w:hAnsi="宋体" w:eastAsia="宋体" w:cs="宋体"/>
          <w:i w:val="0"/>
          <w:iCs w:val="0"/>
          <w:caps w:val="0"/>
          <w:color w:val="333333"/>
          <w:spacing w:val="0"/>
          <w:sz w:val="30"/>
          <w:szCs w:val="30"/>
          <w:shd w:val="clear" w:color="auto" w:fill="ffffff"/>
        </w:rPr>
        <w:t xml:space="preserve">于符合本国产品标准的声明函</w:t>
      </w:r>
      <w:r/>
    </w:p>
    <w:p>
      <w:pPr>
        <w:pStyle w:val="756"/>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
    </w:p>
    <w:p>
      <w:pPr>
        <w:pStyle w:val="756"/>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6"/>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56"/>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67"/>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56"/>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p>
    <w:p>
      <w:pPr>
        <w:pStyle w:val="756"/>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756"/>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56"/>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756"/>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p>
    <w:p>
      <w:pPr>
        <w:pStyle w:val="756"/>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56"/>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756"/>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p>
    <w:p>
      <w:pPr>
        <w:pStyle w:val="756"/>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p>
    <w:p>
      <w:pPr>
        <w:keepLines w:val="0"/>
        <w:keepNext w:val="0"/>
        <w:pageBreakBefore w:val="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67"/>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七</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keepLines w:val="0"/>
        <w:keepNext w:val="0"/>
        <w:pageBreakBefore w:val="0"/>
        <w:spacing w:line="360" w:lineRule="auto"/>
        <w:widowControl w:val="off"/>
        <w:rPr>
          <w:rFonts w:ascii="宋体"/>
          <w:bCs/>
          <w:color w:val="auto"/>
          <w:sz w:val="24"/>
          <w:szCs w:val="24"/>
          <w:highlight w:val="none"/>
        </w:rPr>
      </w:pPr>
      <w:r>
        <w:rPr>
          <w:rFonts w:ascii="宋体"/>
          <w:bCs/>
          <w:color w:val="auto"/>
          <w:sz w:val="24"/>
          <w:szCs w:val="24"/>
          <w:highlight w:val="none"/>
        </w:rPr>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JSZC-320200-XWJC-G2026-0037</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099"/>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u w:val="single"/>
        </w:rPr>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r>
      <w:r>
        <w:rPr>
          <w:rFonts w:hint="eastAsia" w:eastAsia="Times New Roman" w:cs="Times New Roman"/>
          <w:color w:val="000000"/>
          <w:sz w:val="24"/>
          <w:szCs w:val="24"/>
          <w:lang w:val="en-US" w:eastAsia="zh-CN" w:bidi="ar-SA"/>
        </w:rPr>
        <w:t xml:space="preserve">投标人名称（盖章）</w:t>
      </w:r>
      <w:r>
        <w:rPr>
          <w:rFonts w:hint="eastAsia" w:ascii="宋体" w:hAnsi="宋体"/>
          <w:bCs/>
          <w:color w:val="auto"/>
          <w:sz w:val="24"/>
          <w:szCs w:val="24"/>
          <w:highlight w:val="none"/>
        </w:rPr>
        <w:t xml:space="preserve">：</w:t>
      </w:r>
      <w:r>
        <w:rPr>
          <w:rFonts w:hint="eastAsia" w:ascii="宋体" w:hAnsi="宋体"/>
          <w:color w:val="auto"/>
          <w:sz w:val="24"/>
          <w:szCs w:val="24"/>
          <w:highlight w:val="none"/>
        </w:rPr>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八</w:t>
      </w:r>
      <w:r>
        <w:rPr>
          <w:rFonts w:hint="eastAsia"/>
          <w:b/>
          <w:color w:val="000000" w:themeColor="text1"/>
          <w:sz w:val="30"/>
          <w:szCs w:val="30"/>
          <w:highlight w:val="none"/>
          <w14:textFill>
            <w14:solidFill>
              <w14:schemeClr w14:val="tx1"/>
            </w14:solidFill>
          </w14:textFill>
        </w:rPr>
        <w:t xml:space="preserve">、承诺书（给定格式）：</w:t>
      </w:r>
      <w:r>
        <w:rPr>
          <w:rFonts w:hint="eastAsia" w:ascii="宋体" w:hAnsi="宋体"/>
          <w:color w:val="auto"/>
          <w:sz w:val="24"/>
          <w:szCs w:val="24"/>
          <w:highlight w:val="none"/>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JSZC-320200-XWJC-G2026-0037</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none"/>
          <w:lang w:eastAsia="zh-CN"/>
          <w14:textFill>
            <w14:solidFill>
              <w14:schemeClr w14:val="tx1"/>
            </w14:solidFill>
          </w14:textFill>
        </w:rPr>
        <w:t xml:space="preserve">按照</w:t>
      </w:r>
      <w:r>
        <w:rPr>
          <w:rFonts w:hint="eastAsia" w:ascii="宋体"/>
          <w:bCs/>
          <w:color w:val="000000" w:themeColor="text1"/>
          <w:sz w:val="24"/>
          <w:szCs w:val="24"/>
          <w:highlight w:val="non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rPr>
          <w:b/>
          <w:color w:val="000000" w:themeColor="text1"/>
          <w:sz w:val="30"/>
          <w:szCs w:val="30"/>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九</w:t>
      </w:r>
      <w:r>
        <w:rPr>
          <w:rFonts w:hint="eastAsia"/>
          <w:b/>
          <w:color w:val="000000" w:themeColor="text1"/>
          <w:sz w:val="30"/>
          <w:szCs w:val="30"/>
          <w:highlight w:val="non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JSZC-320200-XWJC-G2026-0037</w:t>
      </w:r>
      <w:r/>
    </w:p>
    <w:tbl>
      <w:tblPr>
        <w:tblStyle w:val="723"/>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11"/>
              <w:jc w:val="center"/>
              <w:spacing w:line="400" w:lineRule="exact"/>
              <w:rPr>
                <w:rFonts w:hAnsi="宋体"/>
                <w:bCs/>
                <w:color w:val="000000" w:themeColor="text1"/>
                <w:szCs w:val="24"/>
                <w:highlight w:val="none"/>
                <w14:textFill>
                  <w14:solidFill>
                    <w14:schemeClr w14:val="tx1"/>
                  </w14:solidFill>
                </w14:textFill>
              </w:rPr>
            </w:pPr>
            <w:r>
              <w:rPr>
                <w:rFonts w:hAnsi="宋体"/>
                <w:bCs/>
                <w:color w:val="000000" w:themeColor="text1"/>
                <w:szCs w:val="24"/>
                <w:highlight w:val="none"/>
                <w14:textFill>
                  <w14:solidFill>
                    <w14:schemeClr w14:val="tx1"/>
                  </w14:solidFill>
                </w14:textFill>
              </w:rPr>
            </w:r>
            <w:r/>
          </w:p>
        </w:tc>
        <w:tc>
          <w:tcPr>
            <w:tcW w:w="3188" w:type="dxa"/>
            <w:vAlign w:val="center"/>
            <w:textDirection w:val="lrTb"/>
            <w:noWrap w:val="false"/>
          </w:tcPr>
          <w:p>
            <w:pPr>
              <w:pStyle w:val="1011"/>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30"/>
          <w:szCs w:val="30"/>
          <w:highlight w:val="none"/>
          <w:lang w:val="en-US" w:eastAsia="zh-CN"/>
          <w14:textFill>
            <w14:solidFill>
              <w14:schemeClr w14:val="tx1"/>
            </w14:solidFill>
          </w14:textFill>
        </w:rPr>
        <w:t xml:space="preserve">十</w:t>
      </w:r>
      <w:r>
        <w:rPr>
          <w:rFonts w:hint="eastAsia"/>
          <w:b/>
          <w:color w:val="000000" w:themeColor="text1"/>
          <w:sz w:val="30"/>
          <w:szCs w:val="30"/>
          <w:highlight w:val="none"/>
          <w14:textFill>
            <w14:solidFill>
              <w14:schemeClr w14:val="tx1"/>
            </w14:solidFill>
          </w14:textFill>
        </w:rPr>
        <w:t xml:space="preserve">、细目报价表（给定格式）：</w:t>
      </w:r>
      <w:bookmarkEnd w:id="193"/>
      <w:r/>
      <w:bookmarkEnd w:id="194"/>
      <w:r/>
      <w:bookmarkEnd w:id="195"/>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highlight w:val="none"/>
          <w:lang w:val="en-US"/>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JSZC-320200-XWJC-G2026-0037</w:t>
      </w:r>
      <w:r/>
    </w:p>
    <w:tbl>
      <w:tblPr>
        <w:tblStyle w:val="723"/>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hint="eastAsia" w:eastAsia="宋体" w:cs="Times New Roman"/>
                <w:lang w:val="en-US" w:eastAsia="zh-CN"/>
              </w:rPr>
              <w:t xml:space="preserve">彩色多普勒超声诊断仪（心超）</w:t>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ind w:firstLine="21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21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spacing w:line="400" w:lineRule="exact"/>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ind w:firstLine="315"/>
        <w:jc w:val="center"/>
        <w:spacing w:line="400" w:lineRule="exact"/>
        <w:rPr>
          <w:b/>
          <w:color w:val="000000" w:themeColor="text1"/>
          <w:sz w:val="30"/>
          <w:szCs w:val="30"/>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一</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JSZC-320200-XWJC-G2026-0037</w:t>
      </w:r>
      <w:r/>
    </w:p>
    <w:tbl>
      <w:tblPr>
        <w:tblStyle w:val="72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tc>
      </w:tr>
    </w:tbl>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left="0" w:firstLine="840"/>
        <w:rPr>
          <w:rFonts w:ascii="宋体" w:hAnsi="宋体"/>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）如无任何技术偏离，请于本表“偏离说明”中注明“无偏离”；</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（3）如有技术偏离项，请于本表中列明偏离内容，如需要可自行延长，其余无偏离内容不须赘述；</w:t>
      </w:r>
      <w:r/>
    </w:p>
    <w:p>
      <w:pPr>
        <w:ind w:left="0" w:firstLine="84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（4）投标人应当根据“采购需求”－“第一部分项目技术要求”的内容在上表中逐条填写。</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r>
      <w:r/>
    </w:p>
    <w:p>
      <w:pPr>
        <w:spacing w:line="360" w:lineRule="auto"/>
        <w:rPr>
          <w:rFonts w:ascii="黑体" w:eastAsia="黑体"/>
          <w:bCs/>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二</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项目人员配置清单（</w:t>
      </w:r>
      <w:r>
        <w:rPr>
          <w:rFonts w:hint="eastAsia"/>
          <w:b/>
          <w:color w:val="000000" w:themeColor="text1"/>
          <w:sz w:val="30"/>
          <w:szCs w:val="30"/>
          <w:highlight w:val="none"/>
          <w:lang w:val="en-US" w:eastAsia="zh-CN"/>
          <w14:textFill>
            <w14:solidFill>
              <w14:schemeClr w14:val="tx1"/>
            </w14:solidFill>
          </w14:textFill>
        </w:rPr>
        <w:t xml:space="preserve">给定</w:t>
      </w:r>
      <w:r>
        <w:rPr>
          <w:rFonts w:hint="eastAsia"/>
          <w:b/>
          <w:color w:val="000000" w:themeColor="text1"/>
          <w:sz w:val="30"/>
          <w:szCs w:val="30"/>
          <w:highlight w:val="non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JSZC-320200-XWJC-G2026-0037</w:t>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pStyle w:val="760"/>
        <w:rPr>
          <w:highlight w:val="none"/>
        </w:rPr>
      </w:pPr>
      <w:r>
        <w:rPr>
          <w:highlight w:val="none"/>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三</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《采购需求》中如有要求须提供的证明文件</w:t>
      </w:r>
      <w:r/>
    </w:p>
    <w:p>
      <w:pPr>
        <w:spacing w:line="85" w:lineRule="atLeast"/>
        <w:rPr>
          <w:rFonts w:ascii="黑体" w:hAnsi="黑体" w:cs="黑体"/>
          <w:highlight w:val="none"/>
        </w:rPr>
        <w:pBdr>
          <w:top w:val="none" w:color="000000" w:sz="0" w:space="0"/>
          <w:left w:val="none" w:color="000000" w:sz="0" w:space="0"/>
          <w:bottom w:val="none" w:color="000000" w:sz="0" w:space="0"/>
          <w:right w:val="none" w:color="000000" w:sz="0" w:space="0"/>
        </w:pBdr>
      </w:pPr>
      <w:r>
        <w:rPr>
          <w:rFonts w:ascii="黑体" w:hAnsi="黑体" w:cs="黑体"/>
          <w:highlight w:val="none"/>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8"/>
          <w:szCs w:val="28"/>
          <w:highlight w:val="none"/>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outlineLvl w:val="0"/>
      </w:pPr>
      <w:r>
        <w:rPr>
          <w:rFonts w:hint="eastAsia" w:ascii="黑体" w:hAnsi="黑体" w:cs="黑体"/>
          <w:b w:val="0"/>
          <w:bCs w:val="0"/>
          <w:color w:val="000000" w:themeColor="text1"/>
          <w:sz w:val="30"/>
          <w:szCs w:val="30"/>
          <w:highlight w:val="none"/>
          <w14:textFill>
            <w14:solidFill>
              <w14:schemeClr w14:val="tx1"/>
            </w14:solidFill>
          </w14:textFill>
        </w:rPr>
        <w:t xml:space="preserve">2.</w:t>
      </w: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rPr>
          <w:rFonts w:hint="eastAsia"/>
          <w:b/>
          <w:color w:val="000000" w:themeColor="text1"/>
          <w:sz w:val="30"/>
          <w:szCs w:val="30"/>
          <w:highlight w:val="none"/>
          <w14:textFill>
            <w14:solidFill>
              <w14:schemeClr w14:val="tx1"/>
            </w14:solidFill>
          </w14:textFill>
        </w:rPr>
        <w:t xml:space="preserve">（给定格式）：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ascii="宋体"/>
          <w:color w:val="000000" w:themeColor="text1"/>
          <w:sz w:val="24"/>
          <w:szCs w:val="24"/>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bookmarkStart w:id="197" w:name="_GoBack"/>
      <w:r>
        <w:rPr>
          <w:rFonts w:ascii="宋体" w:cs="宋体"/>
          <w:color w:val="000000" w:themeColor="text1"/>
          <w:sz w:val="24"/>
          <w:szCs w:val="24"/>
          <w:highlight w:val="none"/>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w:t>
      </w:r>
      <w:bookmarkEnd w:id="197"/>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无锡市人民医院彩色多普勒超声诊断仪（心超）项目</w:t>
      </w:r>
      <w:r>
        <w:rPr>
          <w:rFonts w:hint="eastAsia" w:ascii="宋体" w:hAnsi="宋体"/>
          <w:color w:val="000000" w:themeColor="text1"/>
          <w:sz w:val="24"/>
          <w:szCs w:val="24"/>
          <w:highlight w:val="none"/>
          <w14:textFill>
            <w14:solidFill>
              <w14:schemeClr w14:val="tx1"/>
            </w14:solidFill>
          </w14:textFill>
        </w:rPr>
        <w:t xml:space="preserve">（采购包：</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JSZC-320200-XWJC-G2026-0037</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none"/>
          <w:lang w:eastAsia="zh-CN"/>
          <w14:textFill>
            <w14:solidFill>
              <w14:schemeClr w14:val="tx1"/>
            </w14:solidFill>
          </w14:textFill>
        </w:rPr>
        <w:t xml:space="preserve">必需的</w:t>
      </w:r>
      <w:r>
        <w:rPr>
          <w:rFonts w:hint="eastAsia" w:ascii="宋体" w:cs="宋体"/>
          <w:color w:val="000000" w:themeColor="text1"/>
          <w:sz w:val="24"/>
          <w:szCs w:val="24"/>
          <w:highlight w:val="non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日签署本文件，（投标供应商名称）于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w:t>
      </w:r>
      <w:r>
        <w:rPr>
          <w:rFonts w:hint="eastAsia" w:ascii="宋体" w:cs="宋体"/>
          <w:color w:val="000000" w:themeColor="text1"/>
          <w:sz w:val="24"/>
          <w:szCs w:val="24"/>
          <w:highlight w:val="none"/>
          <w:lang w:eastAsia="zh-CN"/>
          <w14:textFill>
            <w14:solidFill>
              <w14:schemeClr w14:val="tx1"/>
            </w14:solidFill>
          </w14:textFill>
        </w:rPr>
        <w:t xml:space="preserve">接收此文</w:t>
      </w:r>
      <w:r>
        <w:rPr>
          <w:rFonts w:hint="eastAsia" w:ascii="宋体" w:cs="宋体"/>
          <w:color w:val="000000" w:themeColor="text1"/>
          <w:sz w:val="24"/>
          <w:szCs w:val="24"/>
          <w:highlight w:val="none"/>
          <w14:textFill>
            <w14:solidFill>
              <w14:schemeClr w14:val="tx1"/>
            </w14:solidFill>
          </w14:textFill>
        </w:rPr>
        <w:t xml:space="preserve">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3.质量保证及售后服务承诺书</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lang w:val="en-US" w:eastAsia="zh-CN"/>
          <w14:textFill>
            <w14:solidFill>
              <w14:schemeClr w14:val="tx1"/>
            </w14:solidFill>
          </w14:textFill>
        </w:rPr>
        <w:t xml:space="preserve">年</w:t>
      </w:r>
      <w:r>
        <w:rPr>
          <w:rFonts w:hint="eastAsia" w:ascii="宋体"/>
          <w:bCs/>
          <w:color w:val="000000" w:themeColor="text1"/>
          <w:sz w:val="24"/>
          <w:szCs w:val="24"/>
          <w:highlight w:val="non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w:t>
      </w:r>
      <w:r>
        <w:rPr>
          <w:rFonts w:hint="eastAsia" w:ascii="宋体"/>
          <w:bCs/>
          <w:color w:val="000000" w:themeColor="text1"/>
          <w:sz w:val="24"/>
          <w:szCs w:val="24"/>
          <w:highlight w:val="none"/>
          <w:lang w:eastAsia="zh-CN"/>
          <w14:textFill>
            <w14:solidFill>
              <w14:schemeClr w14:val="tx1"/>
            </w14:solidFill>
          </w14:textFill>
        </w:rPr>
        <w:t xml:space="preserve">接收此文</w:t>
      </w:r>
      <w:r>
        <w:rPr>
          <w:rFonts w:hint="eastAsia" w:ascii="宋体"/>
          <w:bCs/>
          <w:color w:val="000000" w:themeColor="text1"/>
          <w:sz w:val="24"/>
          <w:szCs w:val="24"/>
          <w:highlight w:val="none"/>
          <w14:textFill>
            <w14:solidFill>
              <w14:schemeClr w14:val="tx1"/>
            </w14:solidFill>
          </w14:textFill>
        </w:rPr>
        <w:t xml:space="preserve">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投标人名称（盖章）：</w:t>
      </w:r>
      <w:r/>
    </w:p>
    <w:p>
      <w:pPr>
        <w:spacing w:line="360" w:lineRule="auto"/>
        <w:rPr>
          <w:b/>
          <w:bCs/>
          <w:color w:val="000000" w:themeColor="text1"/>
          <w:sz w:val="30"/>
          <w:szCs w:val="30"/>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日期：</w:t>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pStyle w:val="760"/>
        <w:rPr>
          <w:highlight w:val="none"/>
        </w:rPr>
      </w:pPr>
      <w:r>
        <w:rPr>
          <w:highlight w:val="none"/>
        </w:rPr>
      </w:r>
      <w:r/>
    </w:p>
    <w:p>
      <w:pPr>
        <w:pStyle w:val="760"/>
        <w:rPr>
          <w:highlight w:val="none"/>
        </w:rPr>
      </w:pPr>
      <w:r>
        <w:rPr>
          <w:highlight w:val="none"/>
        </w:rPr>
      </w:r>
      <w:r/>
    </w:p>
    <w:p>
      <w:pPr>
        <w:pStyle w:val="760"/>
        <w:rPr>
          <w:highlight w:val="none"/>
        </w:rPr>
      </w:pPr>
      <w:r>
        <w:rPr>
          <w:highlight w:val="none"/>
        </w:rPr>
      </w:r>
      <w:r/>
    </w:p>
    <w:p>
      <w:pPr>
        <w:pStyle w:val="760"/>
        <w:rPr>
          <w:highlight w:val="none"/>
        </w:rPr>
      </w:pPr>
      <w:r>
        <w:rPr>
          <w:highlight w:val="none"/>
        </w:rPr>
      </w:r>
      <w:r/>
    </w:p>
    <w:p>
      <w:pPr>
        <w:rPr>
          <w:b/>
          <w:bCs/>
          <w:color w:val="000000" w:themeColor="text1"/>
          <w:sz w:val="30"/>
          <w:szCs w:val="30"/>
          <w:highlight w:val="none"/>
          <w14:textFill>
            <w14:solidFill>
              <w14:schemeClr w14:val="tx1"/>
            </w14:solidFill>
          </w14:textFill>
        </w:rPr>
        <w:outlineLvl w:val="0"/>
      </w:pPr>
      <w:r>
        <w:rPr>
          <w:b/>
          <w:bCs/>
          <w:color w:val="000000" w:themeColor="text1"/>
          <w:sz w:val="30"/>
          <w:szCs w:val="30"/>
          <w:highlight w:val="non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none"/>
          <w14:textFill>
            <w14:solidFill>
              <w14:schemeClr w14:val="tx1"/>
            </w14:solidFill>
          </w14:textFill>
        </w:rPr>
        <w:t xml:space="preserve">设备随机耗材要求</w:t>
      </w:r>
      <w:r>
        <w:rPr>
          <w:rFonts w:hint="eastAsia" w:ascii="黑体" w:hAnsi="黑体" w:eastAsia="黑体" w:cs="黑体"/>
          <w:color w:val="000000" w:themeColor="text1"/>
          <w:sz w:val="28"/>
          <w:szCs w:val="28"/>
          <w:highlight w:val="non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格式自拟</w:t>
      </w:r>
      <w:r>
        <w:rPr>
          <w:rFonts w:hint="eastAsia" w:ascii="黑体" w:hAnsi="黑体" w:eastAsia="黑体" w:cs="黑体"/>
          <w:color w:val="000000" w:themeColor="text1"/>
          <w:sz w:val="28"/>
          <w:szCs w:val="28"/>
          <w:highlight w:val="non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none"/>
          <w14:textFill>
            <w14:solidFill>
              <w14:schemeClr w14:val="tx1"/>
            </w14:solidFill>
          </w14:textFill>
        </w:rPr>
        <w:t xml:space="preserve">：</w:t>
      </w:r>
      <w:r/>
    </w:p>
    <w:p>
      <w:pPr>
        <w:numPr>
          <w:ilvl w:val="0"/>
          <w:numId w:val="0"/>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spacing w:before="5"/>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ind w:firstLine="1502"/>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法定代表人或法定代表人授权代表CA签章：</w:t>
      </w:r>
      <w:r/>
    </w:p>
    <w:p>
      <w:pPr>
        <w:spacing w:before="5"/>
        <w:rPr>
          <w:rFonts w:ascii="黑体" w:eastAsia="黑体" w:cs="黑体"/>
          <w:color w:val="000000" w:themeColor="text1"/>
          <w:sz w:val="28"/>
          <w:szCs w:val="28"/>
          <w:highlight w:val="none"/>
          <w14:textFill>
            <w14:solidFill>
              <w14:schemeClr w14:val="tx1"/>
            </w14:solidFill>
          </w14:textFill>
        </w:rPr>
      </w:pPr>
      <w:r>
        <w:rPr>
          <w:rFonts w:ascii="黑体" w:eastAsia="黑体" w:cs="黑体"/>
          <w:color w:val="000000" w:themeColor="text1"/>
          <w:sz w:val="28"/>
          <w:szCs w:val="28"/>
          <w:highlight w:val="none"/>
          <w14:textFill>
            <w14:solidFill>
              <w14:schemeClr w14:val="tx1"/>
            </w14:solidFill>
          </w14:textFill>
        </w:rPr>
      </w:r>
      <w:r/>
    </w:p>
    <w:p>
      <w:pPr>
        <w:ind w:right="-14"/>
        <w:jc w:val="right"/>
        <w:rPr>
          <w:b/>
          <w:bCs/>
          <w:color w:val="000000" w:themeColor="text1"/>
          <w:sz w:val="30"/>
          <w:szCs w:val="30"/>
          <w:highlight w:val="none"/>
          <w14:textFill>
            <w14:solidFill>
              <w14:schemeClr w14:val="tx1"/>
            </w14:solidFill>
          </w14:textFill>
        </w:rPr>
      </w:pPr>
      <w:r>
        <w:rPr>
          <w:b/>
          <w:bCs/>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b/>
          <w:bCs/>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spacing w:line="360" w:lineRule="auto"/>
        <w:rPr>
          <w:rFonts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w:t>
      </w:r>
      <w:r>
        <w:rPr>
          <w:rFonts w:hint="eastAsia" w:ascii="宋体" w:hAnsi="宋体" w:cs="宋体"/>
          <w:color w:val="000000" w:themeColor="text1"/>
          <w:sz w:val="24"/>
          <w:szCs w:val="24"/>
          <w:highlight w:val="none"/>
          <w14:textFill>
            <w14:solidFill>
              <w14:schemeClr w14:val="tx1"/>
            </w14:solidFill>
          </w14:textFill>
        </w:rPr>
        <w:t xml:space="preserve">按折价进行补偿</w:t>
      </w:r>
      <w:r>
        <w:rPr>
          <w:rFonts w:ascii="宋体" w:hAnsi="宋体" w:cs="宋体"/>
          <w:color w:val="000000" w:themeColor="text1"/>
          <w:sz w:val="24"/>
          <w:szCs w:val="24"/>
          <w:highlight w:val="none"/>
          <w14:textFill>
            <w14:solidFill>
              <w14:schemeClr w14:val="tx1"/>
            </w14:solidFill>
          </w14:textFill>
        </w:rPr>
        <w:t xml:space="preserve">（折旧方法：直线折旧法）。</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制造厂商</w:t>
      </w:r>
      <w:r>
        <w:rPr>
          <w:rFonts w:ascii="宋体" w:hAnsi="宋体" w:cs="宋体"/>
          <w:color w:val="000000" w:themeColor="text1"/>
          <w:sz w:val="24"/>
          <w:szCs w:val="24"/>
          <w:highlight w:val="non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w:t>
      </w:r>
      <w:r>
        <w:rPr>
          <w:highlight w:val="none"/>
        </w:rPr>
        <w:t xml:space="preserve">：</w:t>
      </w:r>
      <w:r/>
    </w:p>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日期：</w:t>
      </w:r>
      <w:r/>
    </w:p>
    <w:p>
      <w:pPr>
        <w:spacing w:line="360" w:lineRule="auto"/>
        <w:rPr>
          <w:rFonts w:hint="eastAsia" w:ascii="Times New Roman" w:hAnsi="Times New Roman" w:eastAsia="宋体" w:cs="Times New Roman"/>
          <w:b/>
          <w:color w:val="000000" w:themeColor="text1"/>
          <w:sz w:val="30"/>
          <w:szCs w:val="30"/>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z w:val="30"/>
          <w:szCs w:val="30"/>
          <w:highlight w:val="none"/>
          <w:lang w:val="en-US" w:eastAsia="zh-CN"/>
          <w14:textFill>
            <w14:solidFill>
              <w14:schemeClr w14:val="tx1"/>
            </w14:solidFill>
          </w14:textFill>
        </w:rPr>
        <w:t xml:space="preserve">6.配件报价表（给定格式）：</w:t>
      </w:r>
      <w:r/>
    </w:p>
    <w:p>
      <w:pPr>
        <w:jc w:val="center"/>
        <w:spacing w:line="400" w:lineRule="exact"/>
        <w:rPr>
          <w:rFonts w:hint="eastAsia" w:ascii="宋体" w:hAnsi="宋体" w:eastAsia="宋体" w:cs="宋体"/>
          <w:sz w:val="24"/>
          <w:szCs w:val="24"/>
          <w:lang w:val="en-US" w:eastAsia="zh-CN"/>
        </w:rPr>
      </w:pPr>
      <w:r>
        <w:rPr>
          <w:rFonts w:hint="eastAsia" w:ascii="宋体" w:hAnsi="宋体"/>
          <w:sz w:val="22"/>
          <w:szCs w:val="22"/>
          <w:lang w:val="en-US" w:eastAsia="zh-CN"/>
        </w:rPr>
        <w:t xml:space="preserve"> </w:t>
      </w:r>
      <w:r>
        <w:rPr>
          <w:rFonts w:hint="eastAsia" w:ascii="宋体" w:hAnsi="宋体" w:eastAsia="宋体" w:cs="宋体"/>
          <w:sz w:val="24"/>
          <w:szCs w:val="24"/>
          <w:lang w:val="en-US" w:eastAsia="zh-CN"/>
        </w:rPr>
        <w:t xml:space="preserve">配件报价表</w:t>
      </w:r>
      <w:r/>
    </w:p>
    <w:tbl>
      <w:tblPr>
        <w:tblStyle w:val="72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66"/>
        <w:gridCol w:w="2309"/>
        <w:gridCol w:w="1366"/>
        <w:gridCol w:w="2309"/>
        <w:gridCol w:w="2783"/>
      </w:tblGrid>
      <w:tr>
        <w:trPr>
          <w:trHeight w:val="540"/>
        </w:trPr>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单价（元）</w:t>
            </w:r>
            <w:r/>
          </w:p>
        </w:tc>
      </w:tr>
      <w:tr>
        <w:trPr>
          <w:trHeight w:val="90"/>
        </w:trPr>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二维成人心脏相控阵探头（经胸）</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三维Mini心脏相控阵探头（经食道）</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三维成人心脏相控阵探头（经胸）</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9"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372" w:type="pct"/>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spacing w:line="360" w:lineRule="auto"/>
        <w:widowControl/>
        <w:rPr>
          <w:color w:val="000000" w:themeColor="text1"/>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r>
      <w:r>
        <w:rPr>
          <w:rFonts w:ascii="宋体" w:hAnsi="宋体" w:cs="宋体"/>
          <w:color w:val="000000" w:themeColor="text1"/>
          <w:sz w:val="24"/>
          <w:szCs w:val="24"/>
          <w:highlight w:val="none"/>
          <w14:textFill>
            <w14:solidFill>
              <w14:schemeClr w14:val="tx1"/>
            </w14:solidFill>
          </w14:textFill>
        </w:rPr>
        <w:t xml:space="preserve">                                     </w:t>
      </w:r>
      <w:r/>
    </w:p>
    <w:p>
      <w:pPr>
        <w:pStyle w:val="74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十</w:t>
      </w:r>
      <w:r>
        <w:rPr>
          <w:rFonts w:hint="eastAsia" w:ascii="宋体" w:hAnsi="宋体" w:cs="宋体"/>
          <w:b/>
          <w:color w:val="000000"/>
          <w:sz w:val="30"/>
          <w:highlight w:val="none"/>
          <w:lang w:val="en-US" w:eastAsia="zh-CN"/>
        </w:rPr>
        <w:t xml:space="preserve">四、</w:t>
      </w:r>
      <w:r>
        <w:rPr>
          <w:rFonts w:ascii="宋体" w:hAnsi="宋体" w:cs="宋体"/>
          <w:b/>
          <w:color w:val="000000"/>
          <w:sz w:val="30"/>
          <w:highlight w:val="none"/>
        </w:rPr>
        <w:t xml:space="preserve">《评标方法与评标标准》中涉及的证明文件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85"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评</w:t>
      </w:r>
      <w:r>
        <w:rPr>
          <w:rFonts w:ascii="宋体" w:hAnsi="宋体" w:cs="宋体"/>
          <w:color w:val="000000"/>
          <w:sz w:val="24"/>
          <w:highlight w:val="none"/>
        </w:rPr>
        <w:t xml:space="preserve">分标准中要求提供的证明文件及资料通过“苏采云系统”按对应评分项目（或数字编号）分别制作上传，必须保证内容具体、印章完整、清晰可辨。</w:t>
      </w:r>
      <w:r/>
    </w:p>
    <w:p>
      <w:pPr>
        <w:rPr>
          <w:rFonts w:hint="eastAsia" w:ascii="宋体" w:hAnsi="宋体"/>
          <w:bCs/>
          <w:color w:val="auto"/>
          <w:highlight w:val="none"/>
        </w:rPr>
        <w:outlineLvl w:val="0"/>
      </w:pPr>
      <w:r>
        <w:rPr>
          <w:rFonts w:hint="eastAsia" w:ascii="宋体" w:hAnsi="宋体"/>
          <w:bCs/>
          <w:color w:val="auto"/>
          <w:highlight w:val="none"/>
        </w:rPr>
      </w:r>
      <w:r/>
    </w:p>
    <w:p>
      <w:pPr>
        <w:pStyle w:val="760"/>
        <w:ind w:left="0" w:firstLine="0"/>
        <w:rPr>
          <w:rFonts w:hint="eastAsia"/>
          <w:highlight w:val="none"/>
        </w:rPr>
      </w:pPr>
      <w:r>
        <w:rPr>
          <w:rFonts w:hint="eastAsia"/>
          <w:highlight w:val="none"/>
        </w:rPr>
      </w:r>
      <w:r/>
    </w:p>
    <w:sectPr>
      <w:headerReference w:type="default" r:id="rId9"/>
      <w:footerReference w:type="default" r:id="rId10"/>
      <w:footerReference w:type="first" r:id="rId11"/>
      <w:footnotePr/>
      <w:endnotePr/>
      <w:type w:val="nextPage"/>
      <w:pgSz w:w="11906" w:h="16838" w:orient="portrait"/>
      <w:pgMar w:top="567" w:right="851" w:bottom="567" w:left="1134" w:header="624" w:footer="907" w:gutter="0"/>
      <w:pgNumType w:start="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方正楷体_GB2312">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fldChar w:fldCharType="begin"/>
    </w:r>
    <w:r>
      <w:instrText xml:space="preserve">PAGE \* MERGEFORMAT</w:instrText>
    </w:r>
    <w:r>
      <w:fldChar w:fldCharType="separate"/>
    </w:r>
    <w:r>
      <w:t xml:space="preserve">1</w:t>
    </w:r>
    <w:r>
      <w:fldChar w:fldCharType="end"/>
    </w:r>
    <w:r/>
  </w:p>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375139"/>
      <w:rPr/>
    </w:sdtPr>
    <w:sdtContent>
      <w:p>
        <w:pPr>
          <w:pStyle w:val="742"/>
          <w:jc w:val="center"/>
        </w:pPr>
        <w:r>
          <w:fldChar w:fldCharType="begin"/>
        </w:r>
        <w:r>
          <w:instrText xml:space="preserve">PAGE   \* MERGEFORMAT</w:instrText>
        </w:r>
        <w:r>
          <w:fldChar w:fldCharType="separate"/>
        </w:r>
        <w:r>
          <w:rPr>
            <w:lang w:val="zh-CN"/>
          </w:rPr>
          <w:t xml:space="preserve">0</w:t>
        </w:r>
        <w:r>
          <w:fldChar w:fldCharType="end"/>
        </w:r>
        <w:r/>
      </w:p>
    </w:sdtContent>
  </w:sdt>
  <w:p>
    <w:pPr>
      <w:pStyle w:val="742"/>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5528" w:firstLine="0"/>
      </w:pPr>
      <w:rPr>
        <w:rFonts w:hint="eastAsia"/>
      </w:rPr>
    </w:lvl>
    <w:lvl w:ilvl="1">
      <w:start w:val="1"/>
      <w:numFmt w:val="decimal"/>
      <w:isLgl w:val="false"/>
      <w:suff w:val="nothing"/>
      <w:lvlText w:val="%2、"/>
      <w:lvlJc w:val="left"/>
      <w:pPr>
        <w:ind w:left="5528" w:firstLine="0"/>
      </w:pPr>
      <w:rPr>
        <w:rFonts w:hint="eastAsia"/>
      </w:rPr>
    </w:lvl>
    <w:lvl w:ilvl="2">
      <w:start w:val="1"/>
      <w:numFmt w:val="decimal"/>
      <w:isLgl w:val="false"/>
      <w:suff w:val="nothing"/>
      <w:lvlText w:val="%2.%3 "/>
      <w:lvlJc w:val="left"/>
      <w:pPr>
        <w:ind w:left="5528" w:firstLine="0"/>
      </w:pPr>
      <w:rPr>
        <w:rFonts w:hint="eastAsia"/>
      </w:rPr>
    </w:lvl>
    <w:lvl w:ilvl="3">
      <w:start w:val="1"/>
      <w:numFmt w:val="decimal"/>
      <w:isLgl w:val="false"/>
      <w:suff w:val="nothing"/>
      <w:lvlText w:val="%2.%3.%4 "/>
      <w:lvlJc w:val="left"/>
      <w:pPr>
        <w:ind w:left="5528" w:firstLine="0"/>
      </w:pPr>
      <w:rPr>
        <w:rFonts w:hint="eastAsia"/>
      </w:rPr>
    </w:lvl>
    <w:lvl w:ilvl="4">
      <w:start w:val="1"/>
      <w:numFmt w:val="decimal"/>
      <w:isLgl w:val="false"/>
      <w:suff w:val="nothing"/>
      <w:lvlText w:val="%2.%3.%4.%5 "/>
      <w:lvlJc w:val="left"/>
      <w:pPr>
        <w:ind w:left="5528" w:firstLine="0"/>
      </w:pPr>
      <w:rPr>
        <w:rFonts w:hint="eastAsia"/>
      </w:rPr>
    </w:lvl>
    <w:lvl w:ilvl="5">
      <w:start w:val="1"/>
      <w:numFmt w:val="decimal"/>
      <w:pStyle w:val="718"/>
      <w:isLgl w:val="false"/>
      <w:suff w:val="nothing"/>
      <w:lvlText w:val=""/>
      <w:lvlJc w:val="left"/>
      <w:pPr>
        <w:ind w:left="5528" w:firstLine="0"/>
      </w:pPr>
      <w:rPr>
        <w:rFonts w:hint="eastAsia"/>
      </w:rPr>
    </w:lvl>
    <w:lvl w:ilvl="6">
      <w:start w:val="1"/>
      <w:numFmt w:val="decimal"/>
      <w:pStyle w:val="719"/>
      <w:isLgl w:val="false"/>
      <w:suff w:val="nothing"/>
      <w:lvlText w:val=""/>
      <w:lvlJc w:val="left"/>
      <w:pPr>
        <w:ind w:left="5528" w:firstLine="0"/>
      </w:pPr>
      <w:rPr>
        <w:rFonts w:hint="eastAsia"/>
      </w:rPr>
    </w:lvl>
    <w:lvl w:ilvl="7">
      <w:start w:val="1"/>
      <w:numFmt w:val="decimal"/>
      <w:pStyle w:val="720"/>
      <w:isLgl w:val="false"/>
      <w:suff w:val="nothing"/>
      <w:lvlText w:val=""/>
      <w:lvlJc w:val="left"/>
      <w:pPr>
        <w:ind w:left="5528" w:firstLine="0"/>
      </w:pPr>
      <w:rPr>
        <w:rFonts w:hint="eastAsia"/>
      </w:rPr>
    </w:lvl>
    <w:lvl w:ilvl="8">
      <w:start w:val="1"/>
      <w:numFmt w:val="decimal"/>
      <w:pStyle w:val="721"/>
      <w:isLgl w:val="false"/>
      <w:suff w:val="nothing"/>
      <w:lvlText w:val=""/>
      <w:lvlJc w:val="left"/>
      <w:pPr>
        <w:ind w:left="5528"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3">
    <w:name w:val="Heading 1"/>
    <w:basedOn w:val="712"/>
    <w:next w:val="712"/>
    <w:link w:val="1100"/>
    <w:uiPriority w:val="0"/>
    <w:qFormat/>
    <w:pPr>
      <w:jc w:val="center"/>
      <w:keepNext/>
      <w:outlineLvl w:val="0"/>
    </w:pPr>
    <w:rPr>
      <w:rFonts w:ascii="楷体_GB2312" w:eastAsia="楷体_GB2312"/>
      <w:sz w:val="28"/>
      <w:szCs w:val="28"/>
    </w:rPr>
  </w:style>
  <w:style w:type="paragraph" w:styleId="714">
    <w:name w:val="Heading 2"/>
    <w:basedOn w:val="712"/>
    <w:next w:val="724"/>
    <w:link w:val="951"/>
    <w:uiPriority w:val="99"/>
    <w:qFormat/>
    <w:pPr>
      <w:jc w:val="center"/>
      <w:keepLines/>
      <w:keepNext/>
      <w:spacing w:before="260" w:after="260" w:line="416" w:lineRule="auto"/>
      <w:outlineLvl w:val="1"/>
    </w:pPr>
    <w:rPr>
      <w:rFonts w:ascii="Arial" w:hAnsi="Arial" w:eastAsia="幼圆"/>
      <w:b/>
      <w:bCs/>
      <w:sz w:val="44"/>
      <w:szCs w:val="44"/>
    </w:rPr>
  </w:style>
  <w:style w:type="paragraph" w:styleId="715">
    <w:name w:val="Heading 3"/>
    <w:basedOn w:val="712"/>
    <w:next w:val="724"/>
    <w:link w:val="953"/>
    <w:uiPriority w:val="99"/>
    <w:qFormat/>
    <w:pPr>
      <w:keepLines/>
      <w:keepNext/>
      <w:spacing w:before="260" w:after="260" w:line="416" w:lineRule="auto"/>
      <w:outlineLvl w:val="2"/>
    </w:pPr>
    <w:rPr>
      <w:b/>
      <w:bCs/>
      <w:sz w:val="32"/>
      <w:szCs w:val="32"/>
    </w:rPr>
  </w:style>
  <w:style w:type="paragraph" w:styleId="716">
    <w:name w:val="Heading 4"/>
    <w:basedOn w:val="712"/>
    <w:next w:val="724"/>
    <w:link w:val="954"/>
    <w:uiPriority w:val="99"/>
    <w:qFormat/>
    <w:pPr>
      <w:keepLines/>
      <w:keepNext/>
      <w:spacing w:before="280" w:after="290" w:line="376" w:lineRule="auto"/>
      <w:outlineLvl w:val="3"/>
    </w:pPr>
    <w:rPr>
      <w:rFonts w:ascii="Arial" w:hAnsi="Arial" w:eastAsia="黑体"/>
      <w:b/>
      <w:bCs/>
      <w:sz w:val="28"/>
      <w:szCs w:val="28"/>
    </w:rPr>
  </w:style>
  <w:style w:type="paragraph" w:styleId="717">
    <w:name w:val="Heading 5"/>
    <w:basedOn w:val="712"/>
    <w:next w:val="724"/>
    <w:link w:val="955"/>
    <w:uiPriority w:val="99"/>
    <w:qFormat/>
    <w:pPr>
      <w:keepNext/>
      <w:outlineLvl w:val="4"/>
    </w:pPr>
    <w:rPr>
      <w:rFonts w:ascii="宋体"/>
      <w:color w:val="000000"/>
      <w:sz w:val="28"/>
      <w:szCs w:val="28"/>
    </w:rPr>
  </w:style>
  <w:style w:type="paragraph" w:styleId="718">
    <w:name w:val="Heading 6"/>
    <w:basedOn w:val="712"/>
    <w:next w:val="712"/>
    <w:link w:val="95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9">
    <w:name w:val="Heading 7"/>
    <w:basedOn w:val="712"/>
    <w:next w:val="712"/>
    <w:link w:val="957"/>
    <w:uiPriority w:val="0"/>
    <w:qFormat/>
    <w:pPr>
      <w:numPr>
        <w:ilvl w:val="6"/>
        <w:numId w:val="1"/>
      </w:numPr>
      <w:keepLines/>
      <w:keepNext/>
      <w:spacing w:before="240" w:after="64" w:line="320" w:lineRule="auto"/>
      <w:outlineLvl w:val="6"/>
    </w:pPr>
    <w:rPr>
      <w:b/>
      <w:bCs/>
      <w:sz w:val="24"/>
      <w:szCs w:val="24"/>
    </w:rPr>
  </w:style>
  <w:style w:type="paragraph" w:styleId="720">
    <w:name w:val="Heading 8"/>
    <w:basedOn w:val="712"/>
    <w:next w:val="712"/>
    <w:link w:val="95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21">
    <w:name w:val="Heading 9"/>
    <w:basedOn w:val="712"/>
    <w:next w:val="712"/>
    <w:link w:val="959"/>
    <w:uiPriority w:val="0"/>
    <w:qFormat/>
    <w:pPr>
      <w:numPr>
        <w:ilvl w:val="8"/>
        <w:numId w:val="1"/>
      </w:numPr>
      <w:keepLines/>
      <w:keepNext/>
      <w:spacing w:before="240" w:after="64" w:line="320" w:lineRule="auto"/>
      <w:outlineLvl w:val="8"/>
    </w:pPr>
    <w:rPr>
      <w:rFonts w:ascii="Arial" w:hAnsi="Arial" w:eastAsia="黑体"/>
      <w:sz w:val="20"/>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link w:val="952"/>
    <w:uiPriority w:val="99"/>
    <w:qFormat/>
    <w:pPr>
      <w:ind w:firstLine="420"/>
    </w:pPr>
    <w:rPr>
      <w:sz w:val="20"/>
    </w:rPr>
  </w:style>
  <w:style w:type="paragraph" w:styleId="725">
    <w:name w:val="List 3"/>
    <w:basedOn w:val="712"/>
    <w:uiPriority w:val="0"/>
    <w:qFormat/>
    <w:pPr>
      <w:ind w:left="100" w:hanging="200"/>
    </w:pPr>
  </w:style>
  <w:style w:type="paragraph" w:styleId="726">
    <w:name w:val="toc 7"/>
    <w:basedOn w:val="712"/>
    <w:next w:val="712"/>
    <w:uiPriority w:val="0"/>
    <w:semiHidden/>
    <w:qFormat/>
    <w:pPr>
      <w:ind w:left="1260"/>
      <w:jc w:val="left"/>
    </w:pPr>
  </w:style>
  <w:style w:type="paragraph" w:styleId="727">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Document Map"/>
    <w:basedOn w:val="712"/>
    <w:link w:val="960"/>
    <w:uiPriority w:val="99"/>
    <w:semiHidden/>
    <w:qFormat/>
    <w:pPr>
      <w:shd w:val="clear" w:color="auto" w:fill="000080"/>
    </w:pPr>
    <w:rPr>
      <w:sz w:val="20"/>
    </w:rPr>
  </w:style>
  <w:style w:type="paragraph" w:styleId="729">
    <w:name w:val="annotation text"/>
    <w:basedOn w:val="712"/>
    <w:link w:val="961"/>
    <w:uiPriority w:val="99"/>
    <w:qFormat/>
    <w:pPr>
      <w:jc w:val="left"/>
    </w:pPr>
    <w:rPr>
      <w:sz w:val="20"/>
    </w:rPr>
  </w:style>
  <w:style w:type="paragraph" w:styleId="730">
    <w:name w:val="Body Text 3"/>
    <w:basedOn w:val="712"/>
    <w:link w:val="962"/>
    <w:uiPriority w:val="0"/>
    <w:qFormat/>
    <w:rPr>
      <w:rFonts w:ascii="仿宋_GB2312" w:hAnsi="Arial" w:eastAsia="仿宋_GB2312"/>
      <w:sz w:val="32"/>
      <w:szCs w:val="32"/>
    </w:rPr>
  </w:style>
  <w:style w:type="paragraph" w:styleId="731">
    <w:name w:val="Body Text"/>
    <w:basedOn w:val="712"/>
    <w:link w:val="963"/>
    <w:uiPriority w:val="0"/>
    <w:qFormat/>
    <w:rPr>
      <w:rFonts w:ascii="楷体_GB2312" w:hAnsi="Arial" w:eastAsia="楷体_GB2312"/>
      <w:sz w:val="28"/>
      <w:szCs w:val="28"/>
    </w:rPr>
  </w:style>
  <w:style w:type="paragraph" w:styleId="732">
    <w:name w:val="Body Text Indent"/>
    <w:basedOn w:val="712"/>
    <w:link w:val="964"/>
    <w:uiPriority w:val="0"/>
    <w:qFormat/>
    <w:pPr>
      <w:ind w:firstLine="645"/>
    </w:pPr>
    <w:rPr>
      <w:rFonts w:ascii="楷体_GB2312" w:eastAsia="楷体_GB2312"/>
      <w:sz w:val="32"/>
      <w:szCs w:val="32"/>
    </w:rPr>
  </w:style>
  <w:style w:type="paragraph" w:styleId="733">
    <w:name w:val="List 2"/>
    <w:basedOn w:val="712"/>
    <w:uiPriority w:val="0"/>
    <w:qFormat/>
    <w:pPr>
      <w:ind w:left="100" w:hanging="200"/>
    </w:pPr>
  </w:style>
  <w:style w:type="paragraph" w:styleId="734">
    <w:name w:val="toc 5"/>
    <w:basedOn w:val="712"/>
    <w:next w:val="712"/>
    <w:uiPriority w:val="0"/>
    <w:semiHidden/>
    <w:qFormat/>
    <w:pPr>
      <w:ind w:left="840"/>
      <w:jc w:val="left"/>
    </w:pPr>
  </w:style>
  <w:style w:type="paragraph" w:styleId="735">
    <w:name w:val="toc 3"/>
    <w:basedOn w:val="712"/>
    <w:next w:val="712"/>
    <w:uiPriority w:val="0"/>
    <w:semiHidden/>
    <w:qFormat/>
    <w:pPr>
      <w:ind w:left="420"/>
      <w:jc w:val="left"/>
    </w:pPr>
    <w:rPr>
      <w:i/>
      <w:iCs/>
      <w:szCs w:val="24"/>
    </w:rPr>
  </w:style>
  <w:style w:type="paragraph" w:styleId="736">
    <w:name w:val="Plain Text"/>
    <w:basedOn w:val="712"/>
    <w:link w:val="965"/>
    <w:uiPriority w:val="0"/>
    <w:qFormat/>
    <w:rPr>
      <w:rFonts w:ascii="宋体" w:hAnsi="Courier New"/>
      <w:sz w:val="20"/>
    </w:rPr>
  </w:style>
  <w:style w:type="paragraph" w:styleId="737">
    <w:name w:val="toc 8"/>
    <w:basedOn w:val="712"/>
    <w:next w:val="712"/>
    <w:uiPriority w:val="0"/>
    <w:semiHidden/>
    <w:qFormat/>
    <w:pPr>
      <w:ind w:left="1470"/>
      <w:jc w:val="left"/>
    </w:pPr>
  </w:style>
  <w:style w:type="paragraph" w:styleId="738">
    <w:name w:val="Date"/>
    <w:basedOn w:val="712"/>
    <w:next w:val="712"/>
    <w:link w:val="966"/>
    <w:uiPriority w:val="99"/>
    <w:qFormat/>
    <w:rPr>
      <w:sz w:val="24"/>
      <w:szCs w:val="24"/>
    </w:rPr>
  </w:style>
  <w:style w:type="paragraph" w:styleId="739">
    <w:name w:val="Body Text Indent 2"/>
    <w:basedOn w:val="712"/>
    <w:link w:val="967"/>
    <w:uiPriority w:val="99"/>
    <w:qFormat/>
    <w:pPr>
      <w:ind w:left="630" w:firstLine="645"/>
    </w:pPr>
    <w:rPr>
      <w:rFonts w:ascii="Arial" w:hAnsi="Arial" w:eastAsia="仿宋_GB2312"/>
      <w:sz w:val="32"/>
      <w:szCs w:val="32"/>
    </w:rPr>
  </w:style>
  <w:style w:type="paragraph" w:styleId="740">
    <w:name w:val="endnote text"/>
    <w:basedOn w:val="712"/>
    <w:link w:val="948"/>
    <w:uiPriority w:val="99"/>
    <w:semiHidden/>
    <w:unhideWhenUsed/>
    <w:qFormat/>
    <w:rPr>
      <w:sz w:val="20"/>
    </w:rPr>
  </w:style>
  <w:style w:type="paragraph" w:styleId="741">
    <w:name w:val="Balloon Text"/>
    <w:basedOn w:val="712"/>
    <w:link w:val="968"/>
    <w:uiPriority w:val="99"/>
    <w:qFormat/>
    <w:rPr>
      <w:sz w:val="18"/>
      <w:szCs w:val="18"/>
    </w:rPr>
  </w:style>
  <w:style w:type="paragraph" w:styleId="742">
    <w:name w:val="Footer"/>
    <w:basedOn w:val="712"/>
    <w:link w:val="969"/>
    <w:uiPriority w:val="99"/>
    <w:qFormat/>
    <w:pPr>
      <w:jc w:val="left"/>
      <w:tabs>
        <w:tab w:val="center" w:pos="4153" w:leader="none"/>
        <w:tab w:val="right" w:pos="8306" w:leader="none"/>
      </w:tabs>
    </w:pPr>
    <w:rPr>
      <w:sz w:val="18"/>
      <w:szCs w:val="18"/>
    </w:rPr>
  </w:style>
  <w:style w:type="paragraph" w:styleId="743">
    <w:name w:val="envelope return"/>
    <w:basedOn w:val="712"/>
    <w:uiPriority w:val="99"/>
    <w:unhideWhenUsed/>
    <w:qFormat/>
    <w:rPr>
      <w:rFonts w:ascii="Arial" w:hAnsi="Arial"/>
      <w:szCs w:val="20"/>
    </w:rPr>
  </w:style>
  <w:style w:type="paragraph" w:styleId="744">
    <w:name w:val="Header"/>
    <w:basedOn w:val="712"/>
    <w:link w:val="970"/>
    <w:uiPriority w:val="99"/>
    <w:qFormat/>
    <w:pPr>
      <w:jc w:val="center"/>
      <w:tabs>
        <w:tab w:val="center" w:pos="4153" w:leader="none"/>
        <w:tab w:val="right" w:pos="8306" w:leader="none"/>
      </w:tabs>
      <w:pBdr>
        <w:bottom w:val="single" w:color="000000" w:sz="6" w:space="1"/>
      </w:pBdr>
    </w:pPr>
    <w:rPr>
      <w:sz w:val="18"/>
      <w:szCs w:val="18"/>
    </w:rPr>
  </w:style>
  <w:style w:type="paragraph" w:styleId="745">
    <w:name w:val="toc 1"/>
    <w:basedOn w:val="712"/>
    <w:next w:val="712"/>
    <w:uiPriority w:val="0"/>
    <w:semiHidden/>
    <w:qFormat/>
    <w:pPr>
      <w:jc w:val="left"/>
      <w:spacing w:before="120" w:after="120" w:line="400" w:lineRule="exact"/>
      <w:tabs>
        <w:tab w:val="right" w:pos="8720" w:leader="dot"/>
      </w:tabs>
    </w:pPr>
    <w:rPr>
      <w:rFonts w:ascii="宋体" w:hAnsi="宋体"/>
      <w:caps/>
      <w:sz w:val="24"/>
      <w:szCs w:val="24"/>
    </w:rPr>
  </w:style>
  <w:style w:type="paragraph" w:styleId="746">
    <w:name w:val="toc 4"/>
    <w:basedOn w:val="712"/>
    <w:next w:val="712"/>
    <w:uiPriority w:val="0"/>
    <w:semiHidden/>
    <w:qFormat/>
    <w:pPr>
      <w:ind w:left="630"/>
      <w:jc w:val="left"/>
    </w:pPr>
  </w:style>
  <w:style w:type="paragraph" w:styleId="747">
    <w:name w:val="Subtitle"/>
    <w:basedOn w:val="712"/>
    <w:next w:val="712"/>
    <w:link w:val="814"/>
    <w:uiPriority w:val="0"/>
    <w:qFormat/>
    <w:pPr>
      <w:spacing w:before="200" w:after="200"/>
    </w:pPr>
    <w:rPr>
      <w:sz w:val="24"/>
      <w:szCs w:val="24"/>
    </w:rPr>
  </w:style>
  <w:style w:type="paragraph" w:styleId="748">
    <w:name w:val="List"/>
    <w:basedOn w:val="712"/>
    <w:uiPriority w:val="99"/>
    <w:qFormat/>
    <w:pPr>
      <w:ind w:left="200" w:hanging="200"/>
    </w:pPr>
  </w:style>
  <w:style w:type="paragraph" w:styleId="749">
    <w:name w:val="footnote text"/>
    <w:basedOn w:val="712"/>
    <w:link w:val="947"/>
    <w:uiPriority w:val="99"/>
    <w:semiHidden/>
    <w:unhideWhenUsed/>
    <w:qFormat/>
    <w:pPr>
      <w:spacing w:after="40"/>
    </w:pPr>
    <w:rPr>
      <w:sz w:val="18"/>
    </w:rPr>
  </w:style>
  <w:style w:type="paragraph" w:styleId="750">
    <w:name w:val="toc 6"/>
    <w:basedOn w:val="712"/>
    <w:next w:val="712"/>
    <w:uiPriority w:val="0"/>
    <w:semiHidden/>
    <w:qFormat/>
    <w:pPr>
      <w:ind w:left="1050"/>
      <w:jc w:val="left"/>
    </w:pPr>
  </w:style>
  <w:style w:type="paragraph" w:styleId="751">
    <w:name w:val="Body Text Indent 3"/>
    <w:basedOn w:val="712"/>
    <w:link w:val="971"/>
    <w:uiPriority w:val="99"/>
    <w:qFormat/>
    <w:pPr>
      <w:ind w:left="645" w:firstLine="645"/>
    </w:pPr>
    <w:rPr>
      <w:rFonts w:ascii="Arial" w:hAnsi="Arial" w:eastAsia="仿宋_GB2312"/>
      <w:color w:val="ffff00"/>
      <w:sz w:val="32"/>
      <w:szCs w:val="32"/>
    </w:rPr>
  </w:style>
  <w:style w:type="paragraph" w:styleId="752">
    <w:name w:val="table of figures"/>
    <w:basedOn w:val="712"/>
    <w:next w:val="712"/>
    <w:uiPriority w:val="0"/>
    <w:semiHidden/>
    <w:qFormat/>
    <w:pPr>
      <w:ind w:left="840" w:hanging="420"/>
    </w:pPr>
  </w:style>
  <w:style w:type="paragraph" w:styleId="753">
    <w:name w:val="toc 2"/>
    <w:basedOn w:val="712"/>
    <w:next w:val="712"/>
    <w:uiPriority w:val="0"/>
    <w:semiHidden/>
    <w:qFormat/>
    <w:pPr>
      <w:ind w:left="210"/>
      <w:jc w:val="left"/>
    </w:pPr>
    <w:rPr>
      <w:smallCaps/>
      <w:szCs w:val="24"/>
    </w:rPr>
  </w:style>
  <w:style w:type="paragraph" w:styleId="754">
    <w:name w:val="toc 9"/>
    <w:basedOn w:val="712"/>
    <w:next w:val="712"/>
    <w:uiPriority w:val="0"/>
    <w:semiHidden/>
    <w:qFormat/>
    <w:pPr>
      <w:ind w:left="1680"/>
      <w:jc w:val="left"/>
    </w:pPr>
  </w:style>
  <w:style w:type="paragraph" w:styleId="755">
    <w:name w:val="Body Text 2"/>
    <w:basedOn w:val="712"/>
    <w:link w:val="972"/>
    <w:uiPriority w:val="0"/>
    <w:qFormat/>
    <w:pPr>
      <w:jc w:val="center"/>
      <w:widowControl/>
    </w:pPr>
    <w:rPr>
      <w:rFonts w:ascii="楷体_GB2312" w:eastAsia="楷体_GB2312"/>
      <w:sz w:val="28"/>
      <w:szCs w:val="28"/>
    </w:rPr>
  </w:style>
  <w:style w:type="paragraph" w:styleId="756">
    <w:name w:val="Normal (Web)"/>
    <w:basedOn w:val="712"/>
    <w:uiPriority w:val="0"/>
    <w:qFormat/>
    <w:pPr>
      <w:jc w:val="left"/>
      <w:spacing w:before="100" w:beforeAutospacing="1" w:after="100" w:afterAutospacing="1"/>
      <w:widowControl/>
    </w:pPr>
    <w:rPr>
      <w:rFonts w:ascii="宋体" w:hAnsi="宋体" w:cs="宋体"/>
      <w:sz w:val="24"/>
      <w:szCs w:val="24"/>
    </w:rPr>
  </w:style>
  <w:style w:type="paragraph" w:styleId="757">
    <w:name w:val="index 1"/>
    <w:basedOn w:val="712"/>
    <w:next w:val="712"/>
    <w:uiPriority w:val="0"/>
    <w:semiHidden/>
    <w:qFormat/>
    <w:pPr>
      <w:spacing w:line="240" w:lineRule="atLeast"/>
    </w:pPr>
    <w:rPr>
      <w:b/>
      <w:bCs/>
    </w:rPr>
  </w:style>
  <w:style w:type="paragraph" w:styleId="758">
    <w:name w:val="Title"/>
    <w:basedOn w:val="712"/>
    <w:next w:val="712"/>
    <w:link w:val="813"/>
    <w:uiPriority w:val="0"/>
    <w:qFormat/>
    <w:pPr>
      <w:contextualSpacing/>
      <w:spacing w:before="300" w:after="200"/>
    </w:pPr>
    <w:rPr>
      <w:sz w:val="48"/>
      <w:szCs w:val="48"/>
    </w:rPr>
  </w:style>
  <w:style w:type="paragraph" w:styleId="759">
    <w:name w:val="annotation subject"/>
    <w:basedOn w:val="729"/>
    <w:next w:val="729"/>
    <w:link w:val="973"/>
    <w:uiPriority w:val="0"/>
    <w:qFormat/>
    <w:rPr>
      <w:b/>
      <w:bCs/>
    </w:rPr>
  </w:style>
  <w:style w:type="paragraph" w:styleId="760">
    <w:name w:val="Body Text First Indent"/>
    <w:basedOn w:val="731"/>
    <w:link w:val="974"/>
    <w:uiPriority w:val="0"/>
    <w:qFormat/>
    <w:pPr>
      <w:ind w:firstLine="200"/>
      <w:spacing w:line="360" w:lineRule="auto"/>
    </w:pPr>
    <w:rPr>
      <w:rFonts w:ascii="仿宋_GB2312" w:eastAsia="仿宋_GB2312"/>
      <w:sz w:val="30"/>
      <w:szCs w:val="30"/>
    </w:rPr>
  </w:style>
  <w:style w:type="paragraph" w:styleId="761">
    <w:name w:val="Body Text First Indent 2"/>
    <w:basedOn w:val="732"/>
    <w:link w:val="975"/>
    <w:uiPriority w:val="99"/>
    <w:qFormat/>
    <w:pPr>
      <w:ind w:firstLine="420"/>
      <w:spacing w:line="360" w:lineRule="auto"/>
    </w:pPr>
    <w:rPr>
      <w:rFonts w:ascii="宋体" w:hAnsi="宋体" w:eastAsia="宋体"/>
      <w:szCs w:val="20"/>
    </w:rPr>
  </w:style>
  <w:style w:type="table" w:styleId="762">
    <w:name w:val="Table Grid"/>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uiPriority w:val="99"/>
    <w:qFormat/>
    <w:rPr>
      <w:b/>
      <w:bCs/>
    </w:rPr>
  </w:style>
  <w:style w:type="character" w:styleId="764">
    <w:name w:val="endnote reference"/>
    <w:uiPriority w:val="99"/>
    <w:semiHidden/>
    <w:unhideWhenUsed/>
    <w:qFormat/>
    <w:rPr>
      <w:vertAlign w:val="superscript"/>
    </w:rPr>
  </w:style>
  <w:style w:type="character" w:styleId="765">
    <w:name w:val="page number"/>
    <w:uiPriority w:val="99"/>
    <w:qFormat/>
  </w:style>
  <w:style w:type="character" w:styleId="766">
    <w:name w:val="FollowedHyperlink"/>
    <w:uiPriority w:val="99"/>
    <w:qFormat/>
    <w:rPr>
      <w:rFonts w:cs="Times New Roman"/>
      <w:color w:val="auto"/>
      <w:u w:val="none"/>
    </w:rPr>
  </w:style>
  <w:style w:type="character" w:styleId="767">
    <w:name w:val="Emphasis"/>
    <w:basedOn w:val="722"/>
    <w:uiPriority w:val="20"/>
    <w:qFormat/>
    <w:rPr>
      <w:i/>
    </w:rPr>
  </w:style>
  <w:style w:type="character" w:styleId="768">
    <w:name w:val="HTML Typewriter"/>
    <w:uiPriority w:val="99"/>
    <w:qFormat/>
    <w:rPr>
      <w:rFonts w:ascii="宋体" w:hAnsi="宋体" w:eastAsia="宋体" w:cs="宋体"/>
      <w:sz w:val="24"/>
      <w:szCs w:val="24"/>
    </w:rPr>
  </w:style>
  <w:style w:type="character" w:styleId="769">
    <w:name w:val="Hyperlink"/>
    <w:uiPriority w:val="99"/>
    <w:qFormat/>
    <w:rPr>
      <w:color w:val="0000ff"/>
      <w:u w:val="single"/>
    </w:rPr>
  </w:style>
  <w:style w:type="character" w:styleId="770">
    <w:name w:val="annotation reference"/>
    <w:uiPriority w:val="99"/>
    <w:qFormat/>
    <w:rPr>
      <w:sz w:val="21"/>
      <w:szCs w:val="21"/>
    </w:rPr>
  </w:style>
  <w:style w:type="character" w:styleId="771">
    <w:name w:val="footnote reference"/>
    <w:uiPriority w:val="99"/>
    <w:unhideWhenUsed/>
    <w:qFormat/>
    <w:rPr>
      <w:vertAlign w:val="superscript"/>
    </w:rPr>
  </w:style>
  <w:style w:type="paragraph" w:styleId="772" w:customStyle="1">
    <w:name w:val="正文首行缩进1"/>
    <w:basedOn w:val="773"/>
    <w:uiPriority w:val="0"/>
    <w:qFormat/>
    <w:pPr>
      <w:ind w:firstLine="420"/>
      <w:spacing w:line="360" w:lineRule="auto"/>
    </w:pPr>
    <w:rPr>
      <w:rFonts w:ascii="Times New Roman" w:hAnsi="Times New Roman" w:cs="Times New Roman"/>
      <w:szCs w:val="21"/>
    </w:rPr>
  </w:style>
  <w:style w:type="paragraph" w:styleId="773" w:customStyle="1">
    <w:name w:val="正文文本1"/>
    <w:basedOn w:val="712"/>
    <w:uiPriority w:val="0"/>
    <w:qFormat/>
    <w:rPr>
      <w:rFonts w:ascii="宋体"/>
      <w:sz w:val="28"/>
    </w:rPr>
  </w:style>
  <w:style w:type="table" w:styleId="774"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3" w:customStyle="1">
    <w:name w:val="TOC Heading"/>
    <w:uiPriority w:val="39"/>
    <w:unhideWhenUsed/>
    <w:qFormat/>
    <w:rPr>
      <w:rFonts w:hint="default" w:ascii="Times New Roman" w:hAnsi="Times New Roman" w:eastAsia="宋体" w:cs="Times New Roman"/>
    </w:rPr>
  </w:style>
  <w:style w:type="character" w:styleId="794" w:customStyle="1">
    <w:name w:val="Title Char"/>
    <w:basedOn w:val="722"/>
    <w:uiPriority w:val="10"/>
    <w:qFormat/>
    <w:rPr>
      <w:sz w:val="48"/>
      <w:szCs w:val="48"/>
    </w:rPr>
  </w:style>
  <w:style w:type="character" w:styleId="795" w:customStyle="1">
    <w:name w:val="Subtitle Char"/>
    <w:basedOn w:val="722"/>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标题1"/>
    <w:uiPriority w:val="39"/>
    <w:unhideWhenUsed/>
    <w:qFormat/>
    <w:rPr>
      <w:rFonts w:hint="default" w:ascii="Times New Roman" w:hAnsi="Times New Roman" w:eastAsia="宋体" w:cs="Times New Roman"/>
      <w:lang w:val="en-US" w:eastAsia="zh-CN" w:bidi="ar-SA"/>
    </w:rPr>
  </w:style>
  <w:style w:type="paragraph" w:styleId="801" w:customStyle="1">
    <w:name w:val="正文文本缩进1"/>
    <w:basedOn w:val="712"/>
    <w:uiPriority w:val="0"/>
    <w:qFormat/>
    <w:pPr>
      <w:ind w:firstLine="645"/>
    </w:pPr>
    <w:rPr>
      <w:rFonts w:ascii="楷体_GB2312" w:eastAsia="楷体_GB2312"/>
      <w:sz w:val="32"/>
      <w:szCs w:val="32"/>
      <w:lang w:eastAsia="en-US"/>
    </w:rPr>
  </w:style>
  <w:style w:type="character" w:styleId="802" w:customStyle="1">
    <w:name w:val="Heading 1 Char"/>
    <w:uiPriority w:val="9"/>
    <w:qFormat/>
    <w:rPr>
      <w:rFonts w:ascii="Arial" w:hAnsi="Arial" w:eastAsia="Arial" w:cs="Arial"/>
      <w:sz w:val="40"/>
      <w:szCs w:val="40"/>
    </w:rPr>
  </w:style>
  <w:style w:type="character" w:styleId="803" w:customStyle="1">
    <w:name w:val="Heading 2 Char"/>
    <w:uiPriority w:val="9"/>
    <w:qFormat/>
    <w:rPr>
      <w:rFonts w:ascii="Arial" w:hAnsi="Arial" w:eastAsia="Arial" w:cs="Arial"/>
      <w:sz w:val="34"/>
    </w:rPr>
  </w:style>
  <w:style w:type="character" w:styleId="804" w:customStyle="1">
    <w:name w:val="Heading 3 Char"/>
    <w:uiPriority w:val="9"/>
    <w:qFormat/>
    <w:rPr>
      <w:rFonts w:ascii="Arial" w:hAnsi="Arial" w:eastAsia="Arial" w:cs="Arial"/>
      <w:sz w:val="30"/>
      <w:szCs w:val="30"/>
    </w:rPr>
  </w:style>
  <w:style w:type="character" w:styleId="805" w:customStyle="1">
    <w:name w:val="Heading 4 Char"/>
    <w:uiPriority w:val="9"/>
    <w:qFormat/>
    <w:rPr>
      <w:rFonts w:ascii="Arial" w:hAnsi="Arial" w:eastAsia="Arial" w:cs="Arial"/>
      <w:b/>
      <w:bCs/>
      <w:sz w:val="26"/>
      <w:szCs w:val="26"/>
    </w:rPr>
  </w:style>
  <w:style w:type="character" w:styleId="806" w:customStyle="1">
    <w:name w:val="Heading 5 Char"/>
    <w:uiPriority w:val="9"/>
    <w:qFormat/>
    <w:rPr>
      <w:rFonts w:ascii="Arial" w:hAnsi="Arial" w:eastAsia="Arial" w:cs="Arial"/>
      <w:b/>
      <w:bCs/>
      <w:sz w:val="24"/>
      <w:szCs w:val="24"/>
    </w:rPr>
  </w:style>
  <w:style w:type="character" w:styleId="807" w:customStyle="1">
    <w:name w:val="Heading 6 Char"/>
    <w:uiPriority w:val="9"/>
    <w:qFormat/>
    <w:rPr>
      <w:rFonts w:ascii="Arial" w:hAnsi="Arial" w:eastAsia="Arial" w:cs="Arial"/>
      <w:b/>
      <w:bCs/>
      <w:sz w:val="22"/>
      <w:szCs w:val="22"/>
    </w:rPr>
  </w:style>
  <w:style w:type="character" w:styleId="808" w:customStyle="1">
    <w:name w:val="Heading 7 Char"/>
    <w:uiPriority w:val="9"/>
    <w:qFormat/>
    <w:rPr>
      <w:rFonts w:ascii="Arial" w:hAnsi="Arial" w:eastAsia="Arial" w:cs="Arial"/>
      <w:b/>
      <w:bCs/>
      <w:i/>
      <w:iCs/>
      <w:sz w:val="22"/>
      <w:szCs w:val="22"/>
    </w:rPr>
  </w:style>
  <w:style w:type="character" w:styleId="809" w:customStyle="1">
    <w:name w:val="Heading 8 Char"/>
    <w:uiPriority w:val="9"/>
    <w:qFormat/>
    <w:rPr>
      <w:rFonts w:ascii="Arial" w:hAnsi="Arial" w:eastAsia="Arial" w:cs="Arial"/>
      <w:i/>
      <w:iCs/>
      <w:sz w:val="22"/>
      <w:szCs w:val="22"/>
    </w:rPr>
  </w:style>
  <w:style w:type="character" w:styleId="810" w:customStyle="1">
    <w:name w:val="Heading 9 Char"/>
    <w:uiPriority w:val="9"/>
    <w:qFormat/>
    <w:rPr>
      <w:rFonts w:ascii="Arial" w:hAnsi="Arial" w:eastAsia="Arial" w:cs="Arial"/>
      <w:i/>
      <w:iCs/>
      <w:sz w:val="21"/>
      <w:szCs w:val="21"/>
    </w:rPr>
  </w:style>
  <w:style w:type="paragraph" w:styleId="811">
    <w:name w:val="List Paragraph"/>
    <w:basedOn w:val="712"/>
    <w:uiPriority w:val="34"/>
    <w:qFormat/>
    <w:pPr>
      <w:contextualSpacing/>
      <w:ind w:left="720"/>
      <w:jc w:val="left"/>
      <w:widowControl/>
    </w:pPr>
    <w:rPr>
      <w:rFonts w:ascii="Calibri" w:hAnsi="Calibri"/>
      <w:sz w:val="24"/>
      <w:szCs w:val="24"/>
      <w:lang w:eastAsia="en-US" w:bidi="en-US"/>
    </w:rPr>
  </w:style>
  <w:style w:type="paragraph" w:styleId="812">
    <w:name w:val="No Spacing"/>
    <w:link w:val="1079"/>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813" w:customStyle="1">
    <w:name w:val="标题 字符"/>
    <w:link w:val="758"/>
    <w:uiPriority w:val="10"/>
    <w:qFormat/>
    <w:rPr>
      <w:sz w:val="48"/>
      <w:szCs w:val="48"/>
    </w:rPr>
  </w:style>
  <w:style w:type="character" w:styleId="814" w:customStyle="1">
    <w:name w:val="副标题 字符"/>
    <w:link w:val="747"/>
    <w:uiPriority w:val="11"/>
    <w:qFormat/>
    <w:rPr>
      <w:sz w:val="24"/>
      <w:szCs w:val="24"/>
    </w:rPr>
  </w:style>
  <w:style w:type="paragraph" w:styleId="815">
    <w:name w:val="Quote"/>
    <w:basedOn w:val="712"/>
    <w:next w:val="712"/>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12"/>
    <w:next w:val="712"/>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Header Char"/>
    <w:uiPriority w:val="99"/>
    <w:qFormat/>
  </w:style>
  <w:style w:type="character" w:styleId="820" w:customStyle="1">
    <w:name w:val="Footer Char"/>
    <w:uiPriority w:val="99"/>
    <w:qFormat/>
  </w:style>
  <w:style w:type="character" w:styleId="821" w:customStyle="1">
    <w:name w:val="Caption Char"/>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49"/>
    <w:uiPriority w:val="99"/>
    <w:qFormat/>
    <w:rPr>
      <w:sz w:val="18"/>
    </w:rPr>
  </w:style>
  <w:style w:type="character" w:styleId="948" w:customStyle="1">
    <w:name w:val="尾注文本 字符"/>
    <w:link w:val="740"/>
    <w:uiPriority w:val="99"/>
    <w:qFormat/>
    <w:rPr>
      <w:sz w:val="20"/>
    </w:rPr>
  </w:style>
  <w:style w:type="paragraph" w:styleId="949" w:customStyle="1">
    <w:name w:val="TOC 标题111"/>
    <w:uiPriority w:val="39"/>
    <w:unhideWhenUsed/>
    <w:qFormat/>
    <w:rPr>
      <w:rFonts w:hint="default" w:ascii="Times New Roman" w:hAnsi="Times New Roman" w:eastAsia="宋体" w:cs="Times New Roman"/>
      <w:lang w:val="en-US" w:eastAsia="zh-CN" w:bidi="ar-SA"/>
    </w:rPr>
  </w:style>
  <w:style w:type="character" w:styleId="950" w:customStyle="1">
    <w:name w:val="标题 1 字符"/>
    <w:link w:val="713"/>
    <w:uiPriority w:val="99"/>
    <w:qFormat/>
    <w:rPr>
      <w:rFonts w:ascii="楷体_GB2312" w:hAnsi="Times New Roman" w:eastAsia="楷体_GB2312" w:cs="Times New Roman"/>
      <w:sz w:val="28"/>
      <w:szCs w:val="28"/>
    </w:rPr>
  </w:style>
  <w:style w:type="character" w:styleId="951" w:customStyle="1">
    <w:name w:val="标题 2 字符"/>
    <w:link w:val="714"/>
    <w:uiPriority w:val="99"/>
    <w:qFormat/>
    <w:rPr>
      <w:rFonts w:ascii="Arial" w:hAnsi="Arial" w:eastAsia="幼圆" w:cs="Arial"/>
      <w:b/>
      <w:bCs/>
      <w:sz w:val="44"/>
      <w:szCs w:val="44"/>
    </w:rPr>
  </w:style>
  <w:style w:type="character" w:styleId="952" w:customStyle="1">
    <w:name w:val="正文缩进 字符"/>
    <w:link w:val="724"/>
    <w:uiPriority w:val="0"/>
    <w:qFormat/>
    <w:rPr>
      <w:rFonts w:ascii="Times New Roman" w:hAnsi="Times New Roman" w:eastAsia="宋体" w:cs="Times New Roman"/>
      <w:szCs w:val="21"/>
    </w:rPr>
  </w:style>
  <w:style w:type="character" w:styleId="953" w:customStyle="1">
    <w:name w:val="标题 3 字符"/>
    <w:link w:val="715"/>
    <w:uiPriority w:val="99"/>
    <w:qFormat/>
    <w:rPr>
      <w:rFonts w:ascii="Times New Roman" w:hAnsi="Times New Roman" w:eastAsia="宋体" w:cs="Times New Roman"/>
      <w:b/>
      <w:bCs/>
      <w:sz w:val="32"/>
      <w:szCs w:val="32"/>
    </w:rPr>
  </w:style>
  <w:style w:type="character" w:styleId="954" w:customStyle="1">
    <w:name w:val="标题 4 字符"/>
    <w:link w:val="716"/>
    <w:uiPriority w:val="99"/>
    <w:qFormat/>
    <w:rPr>
      <w:rFonts w:ascii="Arial" w:hAnsi="Arial" w:eastAsia="黑体" w:cs="Arial"/>
      <w:b/>
      <w:bCs/>
      <w:sz w:val="28"/>
      <w:szCs w:val="28"/>
    </w:rPr>
  </w:style>
  <w:style w:type="character" w:styleId="955" w:customStyle="1">
    <w:name w:val="标题 5 字符"/>
    <w:link w:val="717"/>
    <w:uiPriority w:val="99"/>
    <w:qFormat/>
    <w:rPr>
      <w:rFonts w:ascii="宋体" w:hAnsi="Times New Roman" w:eastAsia="宋体" w:cs="Times New Roman"/>
      <w:color w:val="000000"/>
      <w:sz w:val="28"/>
      <w:szCs w:val="28"/>
    </w:rPr>
  </w:style>
  <w:style w:type="character" w:styleId="956" w:customStyle="1">
    <w:name w:val="标题 6 字符"/>
    <w:link w:val="718"/>
    <w:uiPriority w:val="0"/>
    <w:qFormat/>
    <w:rPr>
      <w:rFonts w:ascii="Arial" w:hAnsi="Arial" w:eastAsia="黑体"/>
      <w:b/>
      <w:bCs/>
      <w:sz w:val="24"/>
      <w:szCs w:val="24"/>
    </w:rPr>
  </w:style>
  <w:style w:type="character" w:styleId="957" w:customStyle="1">
    <w:name w:val="标题 7 字符"/>
    <w:link w:val="719"/>
    <w:uiPriority w:val="0"/>
    <w:qFormat/>
    <w:rPr>
      <w:b/>
      <w:bCs/>
      <w:sz w:val="24"/>
      <w:szCs w:val="24"/>
    </w:rPr>
  </w:style>
  <w:style w:type="character" w:styleId="958" w:customStyle="1">
    <w:name w:val="标题 8 字符"/>
    <w:link w:val="720"/>
    <w:uiPriority w:val="0"/>
    <w:qFormat/>
    <w:rPr>
      <w:rFonts w:ascii="Arial" w:hAnsi="Arial" w:eastAsia="黑体"/>
      <w:sz w:val="24"/>
      <w:szCs w:val="24"/>
    </w:rPr>
  </w:style>
  <w:style w:type="character" w:styleId="959" w:customStyle="1">
    <w:name w:val="标题 9 字符"/>
    <w:link w:val="721"/>
    <w:uiPriority w:val="0"/>
    <w:qFormat/>
    <w:rPr>
      <w:rFonts w:ascii="Arial" w:hAnsi="Arial" w:eastAsia="黑体"/>
      <w:szCs w:val="21"/>
    </w:rPr>
  </w:style>
  <w:style w:type="character" w:styleId="960" w:customStyle="1">
    <w:name w:val="文档结构图 字符"/>
    <w:link w:val="728"/>
    <w:uiPriority w:val="99"/>
    <w:semiHidden/>
    <w:qFormat/>
    <w:rPr>
      <w:rFonts w:ascii="Times New Roman" w:hAnsi="Times New Roman" w:eastAsia="宋体" w:cs="Times New Roman"/>
      <w:szCs w:val="21"/>
      <w:shd w:val="clear" w:color="auto" w:fill="000080"/>
    </w:rPr>
  </w:style>
  <w:style w:type="character" w:styleId="961" w:customStyle="1">
    <w:name w:val="批注文字 字符"/>
    <w:link w:val="729"/>
    <w:uiPriority w:val="99"/>
    <w:qFormat/>
    <w:rPr>
      <w:rFonts w:ascii="Times New Roman" w:hAnsi="Times New Roman" w:eastAsia="宋体" w:cs="Times New Roman"/>
      <w:szCs w:val="21"/>
    </w:rPr>
  </w:style>
  <w:style w:type="character" w:styleId="962" w:customStyle="1">
    <w:name w:val="正文文本 3 字符"/>
    <w:link w:val="730"/>
    <w:uiPriority w:val="0"/>
    <w:qFormat/>
    <w:rPr>
      <w:rFonts w:ascii="仿宋_GB2312" w:hAnsi="Arial" w:eastAsia="仿宋_GB2312" w:cs="Times New Roman"/>
      <w:sz w:val="32"/>
      <w:szCs w:val="32"/>
    </w:rPr>
  </w:style>
  <w:style w:type="character" w:styleId="963" w:customStyle="1">
    <w:name w:val="正文文本 字符"/>
    <w:link w:val="731"/>
    <w:uiPriority w:val="99"/>
    <w:qFormat/>
    <w:rPr>
      <w:rFonts w:ascii="楷体_GB2312" w:hAnsi="Arial" w:eastAsia="楷体_GB2312" w:cs="Times New Roman"/>
      <w:sz w:val="28"/>
      <w:szCs w:val="28"/>
    </w:rPr>
  </w:style>
  <w:style w:type="character" w:styleId="964" w:customStyle="1">
    <w:name w:val="正文文本缩进 字符"/>
    <w:link w:val="732"/>
    <w:uiPriority w:val="0"/>
    <w:qFormat/>
    <w:rPr>
      <w:rFonts w:ascii="楷体_GB2312" w:hAnsi="Times New Roman" w:eastAsia="楷体_GB2312" w:cs="Times New Roman"/>
      <w:sz w:val="32"/>
      <w:szCs w:val="32"/>
    </w:rPr>
  </w:style>
  <w:style w:type="character" w:styleId="965" w:customStyle="1">
    <w:name w:val="纯文本 字符"/>
    <w:link w:val="736"/>
    <w:uiPriority w:val="0"/>
    <w:qFormat/>
    <w:rPr>
      <w:rFonts w:ascii="宋体" w:hAnsi="Courier New" w:eastAsia="宋体" w:cs="Courier New"/>
      <w:szCs w:val="21"/>
    </w:rPr>
  </w:style>
  <w:style w:type="character" w:styleId="966" w:customStyle="1">
    <w:name w:val="日期 字符"/>
    <w:link w:val="738"/>
    <w:uiPriority w:val="99"/>
    <w:qFormat/>
    <w:rPr>
      <w:rFonts w:ascii="Times New Roman" w:hAnsi="Times New Roman" w:eastAsia="宋体" w:cs="Times New Roman"/>
      <w:sz w:val="24"/>
      <w:szCs w:val="24"/>
    </w:rPr>
  </w:style>
  <w:style w:type="character" w:styleId="967" w:customStyle="1">
    <w:name w:val="正文文本缩进 2 字符"/>
    <w:link w:val="739"/>
    <w:uiPriority w:val="99"/>
    <w:qFormat/>
    <w:rPr>
      <w:rFonts w:ascii="Arial" w:hAnsi="Arial" w:eastAsia="仿宋_GB2312" w:cs="Arial"/>
      <w:sz w:val="32"/>
      <w:szCs w:val="32"/>
    </w:rPr>
  </w:style>
  <w:style w:type="character" w:styleId="968" w:customStyle="1">
    <w:name w:val="批注框文本 字符"/>
    <w:link w:val="741"/>
    <w:uiPriority w:val="99"/>
    <w:semiHidden/>
    <w:qFormat/>
    <w:rPr>
      <w:rFonts w:ascii="Times New Roman" w:hAnsi="Times New Roman" w:eastAsia="宋体" w:cs="Times New Roman"/>
      <w:sz w:val="18"/>
      <w:szCs w:val="18"/>
    </w:rPr>
  </w:style>
  <w:style w:type="character" w:styleId="969" w:customStyle="1">
    <w:name w:val="页脚 字符"/>
    <w:link w:val="742"/>
    <w:uiPriority w:val="99"/>
    <w:qFormat/>
    <w:rPr>
      <w:rFonts w:ascii="Times New Roman" w:hAnsi="Times New Roman" w:eastAsia="宋体" w:cs="Times New Roman"/>
      <w:sz w:val="18"/>
      <w:szCs w:val="18"/>
    </w:rPr>
  </w:style>
  <w:style w:type="character" w:styleId="970" w:customStyle="1">
    <w:name w:val="页眉 字符"/>
    <w:link w:val="744"/>
    <w:uiPriority w:val="99"/>
    <w:qFormat/>
    <w:rPr>
      <w:rFonts w:ascii="Times New Roman" w:hAnsi="Times New Roman" w:eastAsia="宋体" w:cs="Times New Roman"/>
      <w:sz w:val="18"/>
      <w:szCs w:val="18"/>
    </w:rPr>
  </w:style>
  <w:style w:type="character" w:styleId="971" w:customStyle="1">
    <w:name w:val="正文文本缩进 3 字符"/>
    <w:link w:val="751"/>
    <w:uiPriority w:val="99"/>
    <w:qFormat/>
    <w:rPr>
      <w:rFonts w:ascii="Arial" w:hAnsi="Arial" w:eastAsia="仿宋_GB2312" w:cs="Arial"/>
      <w:color w:val="ffff00"/>
      <w:sz w:val="32"/>
      <w:szCs w:val="32"/>
    </w:rPr>
  </w:style>
  <w:style w:type="character" w:styleId="972" w:customStyle="1">
    <w:name w:val="正文文本 2 字符"/>
    <w:link w:val="755"/>
    <w:uiPriority w:val="99"/>
    <w:qFormat/>
    <w:rPr>
      <w:rFonts w:ascii="楷体_GB2312" w:hAnsi="Times New Roman" w:eastAsia="楷体_GB2312" w:cs="Times New Roman"/>
      <w:sz w:val="28"/>
      <w:szCs w:val="28"/>
    </w:rPr>
  </w:style>
  <w:style w:type="character" w:styleId="973" w:customStyle="1">
    <w:name w:val="批注主题 字符"/>
    <w:link w:val="759"/>
    <w:uiPriority w:val="0"/>
    <w:qFormat/>
    <w:rPr>
      <w:rFonts w:ascii="Times New Roman" w:hAnsi="Times New Roman" w:eastAsia="宋体" w:cs="Times New Roman"/>
      <w:b/>
      <w:bCs/>
      <w:szCs w:val="21"/>
    </w:rPr>
  </w:style>
  <w:style w:type="character" w:styleId="974" w:customStyle="1">
    <w:name w:val="正文文本首行缩进 字符"/>
    <w:link w:val="760"/>
    <w:uiPriority w:val="0"/>
    <w:qFormat/>
    <w:rPr>
      <w:rFonts w:ascii="仿宋_GB2312" w:hAnsi="Times New Roman" w:eastAsia="仿宋_GB2312" w:cs="Times New Roman"/>
      <w:sz w:val="30"/>
      <w:szCs w:val="30"/>
    </w:rPr>
  </w:style>
  <w:style w:type="character" w:styleId="975" w:customStyle="1">
    <w:name w:val="正文文本首行缩进 2 字符"/>
    <w:link w:val="761"/>
    <w:uiPriority w:val="99"/>
    <w:qFormat/>
    <w:rPr>
      <w:rFonts w:ascii="宋体" w:hAnsi="宋体" w:eastAsia="宋体" w:cs="Times New Roman"/>
      <w:sz w:val="32"/>
      <w:szCs w:val="20"/>
    </w:rPr>
  </w:style>
  <w:style w:type="character" w:styleId="976" w:customStyle="1">
    <w:name w:val="已访问的超链接11"/>
    <w:uiPriority w:val="0"/>
    <w:qFormat/>
    <w:rPr>
      <w:color w:val="800080"/>
      <w:u w:val="single"/>
    </w:rPr>
  </w:style>
  <w:style w:type="character" w:styleId="977" w:customStyle="1">
    <w:name w:val="font5 Char"/>
    <w:uiPriority w:val="0"/>
    <w:qFormat/>
    <w:rPr>
      <w:rFonts w:ascii="宋体" w:hAnsi="宋体" w:eastAsia="宋体"/>
      <w:sz w:val="28"/>
      <w:szCs w:val="28"/>
      <w:lang w:val="en-US" w:eastAsia="zh-CN" w:bidi="ar-SA"/>
    </w:rPr>
  </w:style>
  <w:style w:type="character" w:styleId="978" w:customStyle="1">
    <w:name w:val="二级目录 Char"/>
    <w:link w:val="979"/>
    <w:uiPriority w:val="0"/>
    <w:qFormat/>
    <w:rPr>
      <w:b/>
      <w:sz w:val="30"/>
      <w:szCs w:val="28"/>
    </w:rPr>
  </w:style>
  <w:style w:type="paragraph" w:styleId="979" w:customStyle="1">
    <w:name w:val="二级目录"/>
    <w:next w:val="712"/>
    <w:link w:val="97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712"/>
    <w:link w:val="980"/>
    <w:uiPriority w:val="0"/>
    <w:qFormat/>
    <w:pPr>
      <w:contextualSpacing/>
      <w:ind w:left="720"/>
      <w:jc w:val="left"/>
      <w:widowControl/>
    </w:pPr>
    <w:rPr>
      <w:rFonts w:ascii="Calibri" w:hAnsi="Calibri"/>
      <w:sz w:val="24"/>
      <w:szCs w:val="24"/>
      <w:lang w:eastAsia="en-US" w:bidi="en-US"/>
    </w:rPr>
  </w:style>
  <w:style w:type="paragraph" w:styleId="982" w:customStyle="1">
    <w:name w:val="Body Text(ch)"/>
    <w:basedOn w:val="712"/>
    <w:next w:val="731"/>
    <w:uiPriority w:val="0"/>
    <w:qFormat/>
    <w:pPr>
      <w:spacing w:after="120"/>
    </w:pPr>
    <w:rPr>
      <w:rFonts w:ascii="宋体" w:hAnsi="Arial"/>
      <w:bCs/>
      <w:iCs/>
      <w:szCs w:val="24"/>
    </w:rPr>
  </w:style>
  <w:style w:type="paragraph" w:styleId="983" w:customStyle="1">
    <w:name w:val="xl27"/>
    <w:basedOn w:val="71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6"/>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5" w:customStyle="1">
    <w:name w:val="Char"/>
    <w:basedOn w:val="712"/>
    <w:uiPriority w:val="0"/>
    <w:qFormat/>
    <w:pPr>
      <w:ind w:firstLine="200"/>
      <w:tabs>
        <w:tab w:val="left" w:pos="360" w:leader="none"/>
      </w:tabs>
    </w:pPr>
    <w:rPr>
      <w:sz w:val="28"/>
      <w:szCs w:val="30"/>
    </w:rPr>
  </w:style>
  <w:style w:type="paragraph" w:styleId="986" w:customStyle="1">
    <w:name w:val="Char11"/>
    <w:basedOn w:val="728"/>
    <w:uiPriority w:val="0"/>
    <w:qFormat/>
    <w:rPr>
      <w:rFonts w:ascii="Tahoma" w:hAnsi="Tahoma"/>
      <w:sz w:val="24"/>
      <w:szCs w:val="24"/>
    </w:rPr>
  </w:style>
  <w:style w:type="paragraph" w:styleId="987" w:customStyle="1">
    <w:name w:val="普通正文"/>
    <w:basedOn w:val="712"/>
    <w:uiPriority w:val="0"/>
    <w:qFormat/>
    <w:pPr>
      <w:ind w:firstLine="480"/>
      <w:jc w:val="left"/>
      <w:spacing w:before="120" w:after="120" w:line="360" w:lineRule="auto"/>
    </w:pPr>
    <w:rPr>
      <w:rFonts w:ascii="Arial" w:hAnsi="Arial"/>
      <w:sz w:val="24"/>
      <w:szCs w:val="24"/>
    </w:rPr>
  </w:style>
  <w:style w:type="paragraph" w:styleId="988" w:customStyle="1">
    <w:name w:val="table_lines"/>
    <w:basedOn w:val="712"/>
    <w:uiPriority w:val="0"/>
    <w:qFormat/>
    <w:pPr>
      <w:jc w:val="left"/>
      <w:widowControl/>
    </w:pPr>
    <w:rPr>
      <w:sz w:val="20"/>
      <w:szCs w:val="20"/>
      <w:lang w:val="de-DE" w:eastAsia="de-DE"/>
    </w:rPr>
  </w:style>
  <w:style w:type="paragraph" w:styleId="98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0" w:customStyle="1">
    <w:name w:val="font7"/>
    <w:basedOn w:val="712"/>
    <w:uiPriority w:val="99"/>
    <w:qFormat/>
    <w:pPr>
      <w:jc w:val="left"/>
      <w:spacing w:before="100" w:beforeAutospacing="1" w:after="100" w:afterAutospacing="1"/>
      <w:widowControl/>
    </w:pPr>
    <w:rPr>
      <w:rFonts w:hint="eastAsia" w:ascii="宋体" w:hAnsi="宋体"/>
      <w:sz w:val="18"/>
      <w:szCs w:val="18"/>
    </w:rPr>
  </w:style>
  <w:style w:type="paragraph" w:styleId="991" w:customStyle="1">
    <w:name w:val="Char Char Char Char"/>
    <w:basedOn w:val="728"/>
    <w:uiPriority w:val="0"/>
    <w:qFormat/>
    <w:pPr>
      <w:spacing w:line="360" w:lineRule="auto"/>
    </w:pPr>
    <w:rPr>
      <w:rFonts w:ascii="Tahoma" w:hAnsi="Tahoma"/>
      <w:sz w:val="24"/>
      <w:szCs w:val="24"/>
    </w:rPr>
  </w:style>
  <w:style w:type="paragraph" w:styleId="992" w:customStyle="1">
    <w:name w:val="4"/>
    <w:basedOn w:val="712"/>
    <w:next w:val="751"/>
    <w:uiPriority w:val="0"/>
    <w:qFormat/>
    <w:pPr>
      <w:ind w:firstLine="420"/>
      <w:spacing w:line="360" w:lineRule="auto"/>
    </w:pPr>
    <w:rPr>
      <w:color w:val="ff0000"/>
      <w:sz w:val="24"/>
      <w:szCs w:val="24"/>
    </w:rPr>
  </w:style>
  <w:style w:type="paragraph" w:styleId="993" w:customStyle="1">
    <w:name w:val="普通 (Web)"/>
    <w:basedOn w:val="712"/>
    <w:uiPriority w:val="0"/>
    <w:qFormat/>
    <w:pPr>
      <w:jc w:val="left"/>
      <w:spacing w:before="100" w:beforeAutospacing="1" w:after="100" w:afterAutospacing="1"/>
      <w:widowControl/>
    </w:pPr>
    <w:rPr>
      <w:rFonts w:ascii="宋体" w:hAnsi="宋体"/>
      <w:sz w:val="24"/>
      <w:szCs w:val="24"/>
    </w:rPr>
  </w:style>
  <w:style w:type="paragraph" w:styleId="994" w:customStyle="1">
    <w:name w:val="Char Char Char Char Char Char Char Char Char Char"/>
    <w:basedOn w:val="712"/>
    <w:uiPriority w:val="0"/>
    <w:qFormat/>
    <w:pPr>
      <w:spacing w:line="360" w:lineRule="auto"/>
    </w:pPr>
    <w:rPr>
      <w:sz w:val="24"/>
      <w:szCs w:val="20"/>
    </w:rPr>
  </w:style>
  <w:style w:type="paragraph" w:styleId="995" w:customStyle="1">
    <w:name w:val="样式1"/>
    <w:basedOn w:val="712"/>
    <w:uiPriority w:val="0"/>
    <w:qFormat/>
    <w:pPr>
      <w:numPr>
        <w:ilvl w:val="0"/>
        <w:numId w:val="3"/>
      </w:numPr>
    </w:pPr>
    <w:rPr>
      <w:rFonts w:ascii="宋体" w:hAnsi="宋体"/>
    </w:rPr>
  </w:style>
  <w:style w:type="paragraph" w:styleId="996" w:customStyle="1">
    <w:name w:val="font6"/>
    <w:basedOn w:val="712"/>
    <w:uiPriority w:val="99"/>
    <w:qFormat/>
    <w:pPr>
      <w:jc w:val="left"/>
      <w:spacing w:before="100" w:beforeAutospacing="1" w:after="100" w:afterAutospacing="1"/>
      <w:widowControl/>
    </w:pPr>
    <w:rPr>
      <w:rFonts w:hint="eastAsia" w:ascii="宋体" w:hAnsi="宋体"/>
      <w:sz w:val="28"/>
      <w:szCs w:val="28"/>
      <w:u w:val="single"/>
    </w:rPr>
  </w:style>
  <w:style w:type="paragraph" w:styleId="997" w:customStyle="1">
    <w:name w:val="xl25"/>
    <w:basedOn w:val="712"/>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customStyle="1">
    <w:name w:val="图标"/>
    <w:basedOn w:val="712"/>
    <w:next w:val="71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标题3"/>
    <w:basedOn w:val="712"/>
    <w:next w:val="712"/>
    <w:uiPriority w:val="0"/>
    <w:qFormat/>
    <w:pPr>
      <w:ind w:firstLine="624"/>
      <w:spacing w:line="590" w:lineRule="atLeast"/>
    </w:pPr>
    <w:rPr>
      <w:rFonts w:ascii="方正黑体_GBK" w:eastAsia="方正黑体_GBK"/>
      <w:sz w:val="32"/>
      <w:szCs w:val="32"/>
    </w:rPr>
  </w:style>
  <w:style w:type="paragraph" w:styleId="1000" w:customStyle="1">
    <w:name w:val="xl24"/>
    <w:basedOn w:val="71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9"/>
    <w:basedOn w:val="712"/>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2" w:customStyle="1">
    <w:name w:val="Char Char Char Char Char Char Char Char"/>
    <w:basedOn w:val="712"/>
    <w:uiPriority w:val="0"/>
    <w:qFormat/>
    <w:pPr>
      <w:jc w:val="left"/>
      <w:spacing w:after="160" w:line="240" w:lineRule="exact"/>
      <w:widowControl/>
    </w:pPr>
    <w:rPr>
      <w:rFonts w:ascii="Verdana" w:hAnsi="Verdana"/>
      <w:sz w:val="20"/>
      <w:szCs w:val="20"/>
      <w:lang w:eastAsia="en-US"/>
    </w:rPr>
  </w:style>
  <w:style w:type="paragraph" w:styleId="1003" w:customStyle="1">
    <w:name w:val="xl28"/>
    <w:basedOn w:val="712"/>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4" w:customStyle="1">
    <w:name w:val="Char Char Char Char Char Char Char Char11"/>
    <w:basedOn w:val="712"/>
    <w:uiPriority w:val="0"/>
    <w:qFormat/>
    <w:pPr>
      <w:jc w:val="left"/>
      <w:spacing w:after="160" w:line="240" w:lineRule="exact"/>
      <w:widowControl/>
    </w:pPr>
    <w:rPr>
      <w:rFonts w:ascii="Verdana" w:hAnsi="Verdana"/>
      <w:sz w:val="20"/>
      <w:szCs w:val="20"/>
      <w:lang w:eastAsia="en-US"/>
    </w:rPr>
  </w:style>
  <w:style w:type="paragraph" w:styleId="1005" w:customStyle="1">
    <w:name w:val="xl30"/>
    <w:basedOn w:val="712"/>
    <w:uiPriority w:val="99"/>
    <w:qFormat/>
    <w:pPr>
      <w:jc w:val="center"/>
      <w:spacing w:before="100" w:beforeAutospacing="1" w:after="100" w:afterAutospacing="1"/>
      <w:widowControl/>
    </w:pPr>
    <w:rPr>
      <w:rFonts w:ascii="宋体" w:hAnsi="宋体"/>
      <w:b/>
      <w:bCs/>
      <w:sz w:val="36"/>
      <w:szCs w:val="36"/>
    </w:rPr>
  </w:style>
  <w:style w:type="paragraph" w:styleId="1006" w:customStyle="1">
    <w:name w:val="Char Char Char Char11"/>
    <w:basedOn w:val="728"/>
    <w:uiPriority w:val="0"/>
    <w:qFormat/>
    <w:pPr>
      <w:spacing w:line="360" w:lineRule="auto"/>
    </w:pPr>
    <w:rPr>
      <w:rFonts w:ascii="Tahoma" w:hAnsi="Tahoma"/>
      <w:sz w:val="24"/>
      <w:szCs w:val="24"/>
    </w:rPr>
  </w:style>
  <w:style w:type="paragraph" w:styleId="1007" w:customStyle="1">
    <w:name w:val="table_1stline"/>
    <w:basedOn w:val="712"/>
    <w:uiPriority w:val="0"/>
    <w:qFormat/>
    <w:pPr>
      <w:jc w:val="left"/>
      <w:spacing w:before="120"/>
      <w:widowControl/>
    </w:pPr>
    <w:rPr>
      <w:bCs/>
      <w:sz w:val="20"/>
      <w:szCs w:val="20"/>
      <w:lang w:val="de-DE" w:eastAsia="de-DE"/>
    </w:rPr>
  </w:style>
  <w:style w:type="paragraph" w:styleId="1008" w:customStyle="1">
    <w:name w:val="font5"/>
    <w:basedOn w:val="712"/>
    <w:uiPriority w:val="99"/>
    <w:qFormat/>
    <w:pPr>
      <w:jc w:val="left"/>
      <w:spacing w:before="100" w:beforeAutospacing="1" w:after="100" w:afterAutospacing="1"/>
      <w:widowControl/>
    </w:pPr>
    <w:rPr>
      <w:rFonts w:hint="eastAsia" w:ascii="宋体" w:hAnsi="宋体"/>
      <w:sz w:val="28"/>
      <w:szCs w:val="28"/>
    </w:rPr>
  </w:style>
  <w:style w:type="paragraph" w:styleId="1009" w:customStyle="1">
    <w:name w:val="标题1"/>
    <w:basedOn w:val="712"/>
    <w:next w:val="7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customStyle="1">
    <w:name w:val="修订1"/>
    <w:uiPriority w:val="99"/>
    <w:qFormat/>
    <w:rPr>
      <w:rFonts w:hint="default" w:ascii="Times New Roman" w:hAnsi="Times New Roman" w:eastAsia="宋体" w:cs="Times New Roman"/>
      <w:sz w:val="21"/>
      <w:szCs w:val="21"/>
      <w:lang w:val="en-US" w:eastAsia="zh-CN" w:bidi="ar-SA"/>
    </w:rPr>
  </w:style>
  <w:style w:type="paragraph" w:styleId="1011" w:customStyle="1">
    <w:name w:val="普通文字"/>
    <w:basedOn w:val="712"/>
    <w:next w:val="712"/>
    <w:uiPriority w:val="99"/>
    <w:qFormat/>
    <w:rPr>
      <w:rFonts w:ascii="宋体"/>
      <w:sz w:val="24"/>
      <w:szCs w:val="20"/>
    </w:rPr>
  </w:style>
  <w:style w:type="paragraph" w:styleId="1012" w:customStyle="1">
    <w:name w:val="目录 111"/>
    <w:basedOn w:val="712"/>
    <w:next w:val="712"/>
    <w:uiPriority w:val="39"/>
    <w:unhideWhenUsed/>
    <w:qFormat/>
    <w:pPr>
      <w:jc w:val="left"/>
      <w:spacing w:after="100" w:line="259" w:lineRule="auto"/>
      <w:widowControl/>
    </w:pPr>
    <w:rPr>
      <w:rFonts w:ascii="Calibri" w:hAnsi="Calibri"/>
      <w:sz w:val="22"/>
      <w:szCs w:val="22"/>
    </w:rPr>
  </w:style>
  <w:style w:type="paragraph" w:styleId="1013" w:customStyle="1">
    <w:name w:val="font8"/>
    <w:basedOn w:val="712"/>
    <w:uiPriority w:val="99"/>
    <w:qFormat/>
    <w:pPr>
      <w:jc w:val="left"/>
      <w:spacing w:before="100" w:beforeAutospacing="1" w:after="100" w:afterAutospacing="1"/>
      <w:widowControl/>
    </w:pPr>
    <w:rPr>
      <w:rFonts w:ascii="宋体" w:hAnsi="宋体"/>
      <w:b/>
      <w:bCs/>
      <w:i/>
      <w:iCs/>
      <w:sz w:val="20"/>
      <w:szCs w:val="20"/>
    </w:rPr>
  </w:style>
  <w:style w:type="paragraph" w:styleId="1014" w:customStyle="1">
    <w:name w:val="font9"/>
    <w:basedOn w:val="712"/>
    <w:uiPriority w:val="99"/>
    <w:qFormat/>
    <w:pPr>
      <w:jc w:val="left"/>
      <w:spacing w:before="100" w:beforeAutospacing="1" w:after="100" w:afterAutospacing="1"/>
      <w:widowControl/>
    </w:pPr>
    <w:rPr>
      <w:b/>
      <w:bCs/>
      <w:sz w:val="20"/>
      <w:szCs w:val="20"/>
    </w:rPr>
  </w:style>
  <w:style w:type="paragraph" w:styleId="1015" w:customStyle="1">
    <w:name w:val="xl31"/>
    <w:basedOn w:val="71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016" w:customStyle="1">
    <w:name w:val="xl32"/>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17" w:customStyle="1">
    <w:name w:val="xl33"/>
    <w:basedOn w:val="71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18" w:customStyle="1">
    <w:name w:val="xl34"/>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19" w:customStyle="1">
    <w:name w:val="xl35"/>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20" w:customStyle="1">
    <w:name w:val="xl36"/>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1" w:customStyle="1">
    <w:name w:val="xl37"/>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22" w:customStyle="1">
    <w:name w:val="xl38"/>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3" w:customStyle="1">
    <w:name w:val="xl39"/>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4" w:customStyle="1">
    <w:name w:val="xl40"/>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25" w:customStyle="1">
    <w:name w:val="xl41"/>
    <w:basedOn w:val="71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6" w:customStyle="1">
    <w:name w:val="xl42"/>
    <w:basedOn w:val="71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27" w:customStyle="1">
    <w:name w:val="xl43"/>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28" w:customStyle="1">
    <w:name w:val="xl44"/>
    <w:basedOn w:val="71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29" w:customStyle="1">
    <w:name w:val="xl45"/>
    <w:basedOn w:val="712"/>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030" w:customStyle="1">
    <w:name w:val="xl46"/>
    <w:basedOn w:val="712"/>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31" w:customStyle="1">
    <w:name w:val="xl47"/>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2" w:customStyle="1">
    <w:name w:val="xl48"/>
    <w:basedOn w:val="71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33" w:customStyle="1">
    <w:name w:val="xl49"/>
    <w:basedOn w:val="712"/>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34" w:customStyle="1">
    <w:name w:val="xl50"/>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35" w:customStyle="1">
    <w:name w:val="xl51"/>
    <w:basedOn w:val="71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36" w:customStyle="1">
    <w:name w:val="xl52"/>
    <w:basedOn w:val="71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37" w:customStyle="1">
    <w:name w:val="xl53"/>
    <w:basedOn w:val="71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38" w:customStyle="1">
    <w:name w:val="xl54"/>
    <w:basedOn w:val="71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39" w:customStyle="1">
    <w:name w:val="xl55"/>
    <w:basedOn w:val="71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40" w:customStyle="1">
    <w:name w:val="xl56"/>
    <w:basedOn w:val="71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41" w:customStyle="1">
    <w:name w:val="xl57"/>
    <w:basedOn w:val="71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42" w:customStyle="1">
    <w:name w:val="xl58"/>
    <w:basedOn w:val="712"/>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43" w:customStyle="1">
    <w:name w:val="xl59"/>
    <w:basedOn w:val="71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44" w:customStyle="1">
    <w:name w:val="xl60"/>
    <w:basedOn w:val="71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45" w:customStyle="1">
    <w:name w:val="xl61"/>
    <w:basedOn w:val="71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46" w:customStyle="1">
    <w:name w:val="xl62"/>
    <w:basedOn w:val="71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47" w:customStyle="1">
    <w:name w:val="xl63"/>
    <w:basedOn w:val="71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48" w:customStyle="1">
    <w:name w:val="font10"/>
    <w:basedOn w:val="712"/>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49" w:customStyle="1">
    <w:name w:val="font11"/>
    <w:basedOn w:val="712"/>
    <w:uiPriority w:val="99"/>
    <w:qFormat/>
    <w:pPr>
      <w:jc w:val="left"/>
      <w:spacing w:before="100" w:beforeAutospacing="1" w:after="100" w:afterAutospacing="1"/>
      <w:widowControl/>
    </w:pPr>
    <w:rPr>
      <w:b/>
      <w:bCs/>
      <w:sz w:val="18"/>
      <w:szCs w:val="18"/>
    </w:rPr>
  </w:style>
  <w:style w:type="paragraph" w:styleId="1050" w:customStyle="1">
    <w:name w:val="font12"/>
    <w:basedOn w:val="712"/>
    <w:uiPriority w:val="99"/>
    <w:qFormat/>
    <w:pPr>
      <w:jc w:val="left"/>
      <w:spacing w:before="100" w:beforeAutospacing="1" w:after="100" w:afterAutospacing="1"/>
      <w:widowControl/>
    </w:pPr>
    <w:rPr>
      <w:rFonts w:ascii="宋体" w:hAnsi="宋体"/>
      <w:sz w:val="36"/>
      <w:szCs w:val="36"/>
    </w:rPr>
  </w:style>
  <w:style w:type="paragraph" w:styleId="1051" w:customStyle="1">
    <w:name w:val="font13"/>
    <w:basedOn w:val="712"/>
    <w:uiPriority w:val="99"/>
    <w:qFormat/>
    <w:pPr>
      <w:jc w:val="left"/>
      <w:spacing w:before="100" w:beforeAutospacing="1" w:after="100" w:afterAutospacing="1"/>
      <w:widowControl/>
    </w:pPr>
    <w:rPr>
      <w:i/>
      <w:iCs/>
      <w:sz w:val="36"/>
      <w:szCs w:val="36"/>
    </w:rPr>
  </w:style>
  <w:style w:type="paragraph" w:styleId="1052" w:customStyle="1">
    <w:name w:val="font14"/>
    <w:basedOn w:val="712"/>
    <w:uiPriority w:val="99"/>
    <w:qFormat/>
    <w:pPr>
      <w:jc w:val="left"/>
      <w:spacing w:before="100" w:beforeAutospacing="1" w:after="100" w:afterAutospacing="1"/>
      <w:widowControl/>
    </w:pPr>
    <w:rPr>
      <w:sz w:val="36"/>
      <w:szCs w:val="36"/>
    </w:rPr>
  </w:style>
  <w:style w:type="character" w:styleId="1053" w:customStyle="1">
    <w:name w:val="case31"/>
    <w:uiPriority w:val="99"/>
    <w:qFormat/>
    <w:rPr>
      <w:rFonts w:cs="Times New Roman"/>
      <w:spacing w:val="390"/>
      <w:sz w:val="21"/>
      <w:szCs w:val="21"/>
    </w:rPr>
  </w:style>
  <w:style w:type="paragraph" w:styleId="1054" w:customStyle="1">
    <w:name w:val="默认段落字体 Para Char"/>
    <w:basedOn w:val="712"/>
    <w:uiPriority w:val="99"/>
    <w:qFormat/>
    <w:pPr>
      <w:ind w:left="552" w:hanging="420"/>
      <w:tabs>
        <w:tab w:val="left" w:pos="552" w:leader="none"/>
      </w:tabs>
    </w:pPr>
    <w:rPr>
      <w:sz w:val="24"/>
      <w:szCs w:val="24"/>
    </w:rPr>
  </w:style>
  <w:style w:type="paragraph" w:styleId="1055" w:customStyle="1">
    <w:name w:val="Char Char1 Char Char Char Char"/>
    <w:basedOn w:val="728"/>
    <w:uiPriority w:val="99"/>
    <w:qFormat/>
    <w:pPr>
      <w:ind w:left="357"/>
      <w:jc w:val="left"/>
      <w:spacing w:line="436" w:lineRule="exact"/>
      <w:outlineLvl w:val="3"/>
    </w:pPr>
    <w:rPr>
      <w:rFonts w:ascii="Tahoma" w:hAnsi="Tahoma"/>
      <w:b/>
      <w:sz w:val="24"/>
      <w:szCs w:val="24"/>
    </w:rPr>
  </w:style>
  <w:style w:type="character" w:styleId="1056" w:customStyle="1">
    <w:name w:val="apple-converted-space"/>
    <w:uiPriority w:val="0"/>
    <w:qFormat/>
  </w:style>
  <w:style w:type="character" w:styleId="1057" w:customStyle="1">
    <w:name w:val="grame"/>
    <w:uiPriority w:val="0"/>
    <w:qFormat/>
  </w:style>
  <w:style w:type="character" w:styleId="1058">
    <w:name w:val="Placeholder Text"/>
    <w:uiPriority w:val="99"/>
    <w:unhideWhenUsed/>
    <w:qFormat/>
    <w:rPr>
      <w:color w:val="808080"/>
    </w:rPr>
  </w:style>
  <w:style w:type="paragraph" w:styleId="1059" w:customStyle="1">
    <w:name w:val="Char Char2 Char"/>
    <w:basedOn w:val="712"/>
    <w:uiPriority w:val="0"/>
    <w:qFormat/>
    <w:pPr>
      <w:ind w:left="390" w:hanging="390"/>
      <w:keepLines/>
      <w:keepNext/>
      <w:pageBreakBefore/>
      <w:tabs>
        <w:tab w:val="left" w:pos="390" w:leader="none"/>
      </w:tabs>
    </w:pPr>
    <w:rPr>
      <w:rFonts w:ascii="Tahoma" w:hAnsi="Tahoma"/>
      <w:sz w:val="24"/>
      <w:szCs w:val="20"/>
    </w:rPr>
  </w:style>
  <w:style w:type="table" w:styleId="1060" w:customStyle="1">
    <w:name w:val="Table Normal"/>
    <w:uiPriority w:val="0"/>
    <w:unhideWhenUsed/>
    <w:qFormat/>
    <w:tblPr>
      <w:tblCellMar>
        <w:left w:w="0" w:type="dxa"/>
        <w:top w:w="0" w:type="dxa"/>
        <w:right w:w="0" w:type="dxa"/>
        <w:bottom w:w="0" w:type="dxa"/>
      </w:tblCellMar>
    </w:tblPr>
  </w:style>
  <w:style w:type="character" w:styleId="1061" w:customStyle="1">
    <w:name w:val="font61"/>
    <w:uiPriority w:val="0"/>
    <w:qFormat/>
    <w:rPr>
      <w:rFonts w:ascii="宋体" w:hAnsi="宋体" w:eastAsia="宋体"/>
      <w:color w:val="000000"/>
      <w:sz w:val="21"/>
      <w:u w:val="none"/>
    </w:rPr>
  </w:style>
  <w:style w:type="paragraph" w:styleId="1062"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1063" w:customStyle="1">
    <w:name w:val="TOC Heading1"/>
    <w:next w:val="712"/>
    <w:uiPriority w:val="0"/>
    <w:qFormat/>
    <w:rPr>
      <w:rFonts w:hint="default" w:ascii="Times New Roman" w:hAnsi="Times New Roman" w:eastAsia="宋体" w:cs="Times New Roman"/>
      <w:sz w:val="32"/>
      <w:lang w:val="en-US" w:eastAsia="zh-CN" w:bidi="ar-SA"/>
    </w:rPr>
  </w:style>
  <w:style w:type="character" w:styleId="1064" w:customStyle="1">
    <w:name w:val="font31"/>
    <w:uiPriority w:val="0"/>
    <w:qFormat/>
    <w:rPr>
      <w:rFonts w:hint="eastAsia" w:ascii="宋体" w:hAnsi="宋体" w:eastAsia="宋体" w:cs="宋体"/>
      <w:color w:val="ff0000"/>
      <w:sz w:val="20"/>
      <w:szCs w:val="20"/>
      <w:u w:val="none"/>
    </w:rPr>
  </w:style>
  <w:style w:type="character" w:styleId="1065" w:customStyle="1">
    <w:name w:val="font21"/>
    <w:uiPriority w:val="0"/>
    <w:qFormat/>
    <w:rPr>
      <w:rFonts w:hint="eastAsia" w:ascii="宋体" w:hAnsi="宋体" w:eastAsia="宋体" w:cs="宋体"/>
      <w:color w:val="000000"/>
      <w:sz w:val="20"/>
      <w:szCs w:val="20"/>
      <w:u w:val="none"/>
    </w:rPr>
  </w:style>
  <w:style w:type="paragraph" w:styleId="1066" w:customStyle="1">
    <w:name w:val="lp1"/>
    <w:basedOn w:val="712"/>
    <w:next w:val="811"/>
    <w:uiPriority w:val="99"/>
    <w:qFormat/>
    <w:pPr>
      <w:ind w:firstLine="420"/>
    </w:pPr>
    <w:rPr>
      <w:szCs w:val="20"/>
      <w:lang w:val="zh-CN"/>
    </w:rPr>
  </w:style>
  <w:style w:type="paragraph" w:styleId="1067" w:customStyle="1">
    <w:name w:val="样式 小四 段前: 5 磅 段后: 5 磅 首行缩进:  2 字符"/>
    <w:basedOn w:val="712"/>
    <w:uiPriority w:val="0"/>
    <w:qFormat/>
    <w:pPr>
      <w:jc w:val="center"/>
      <w:spacing w:line="360" w:lineRule="auto"/>
    </w:pPr>
    <w:rPr>
      <w:rFonts w:ascii="宋体" w:hAnsi="宋体"/>
      <w:bCs/>
      <w:color w:val="ff0000"/>
      <w:sz w:val="24"/>
      <w:szCs w:val="24"/>
    </w:rPr>
  </w:style>
  <w:style w:type="character" w:styleId="1068" w:customStyle="1">
    <w:name w:val="font01"/>
    <w:uiPriority w:val="0"/>
    <w:qFormat/>
    <w:rPr>
      <w:rFonts w:hint="eastAsia" w:ascii="宋体" w:hAnsi="宋体" w:eastAsia="宋体" w:cs="宋体"/>
      <w:color w:val="000000"/>
      <w:sz w:val="18"/>
      <w:szCs w:val="18"/>
      <w:u w:val="none"/>
    </w:rPr>
  </w:style>
  <w:style w:type="character" w:styleId="1069" w:customStyle="1">
    <w:name w:val="font51"/>
    <w:uiPriority w:val="0"/>
    <w:qFormat/>
    <w:rPr>
      <w:rFonts w:hint="eastAsia" w:ascii="宋体" w:hAnsi="宋体" w:eastAsia="宋体" w:cs="宋体"/>
      <w:color w:val="ff0000"/>
      <w:sz w:val="18"/>
      <w:szCs w:val="18"/>
      <w:u w:val="none"/>
    </w:rPr>
  </w:style>
  <w:style w:type="paragraph" w:styleId="1070" w:customStyle="1">
    <w:name w:val="修订111"/>
    <w:uiPriority w:val="99"/>
    <w:qFormat/>
    <w:rPr>
      <w:rFonts w:hint="default" w:ascii="Times New Roman" w:hAnsi="Times New Roman" w:eastAsia="宋体" w:cs="Times New Roman"/>
      <w:sz w:val="21"/>
      <w:lang w:val="en-US" w:eastAsia="zh-CN" w:bidi="ar-SA"/>
    </w:rPr>
  </w:style>
  <w:style w:type="character" w:styleId="1071" w:customStyle="1">
    <w:name w:val="font71"/>
    <w:uiPriority w:val="0"/>
    <w:qFormat/>
    <w:rPr>
      <w:rFonts w:hint="eastAsia" w:ascii="宋体" w:hAnsi="宋体" w:eastAsia="宋体" w:cs="宋体"/>
      <w:b/>
      <w:bCs/>
      <w:color w:val="000000"/>
      <w:sz w:val="20"/>
      <w:szCs w:val="20"/>
      <w:u w:val="none"/>
    </w:rPr>
  </w:style>
  <w:style w:type="paragraph" w:styleId="1072" w:customStyle="1">
    <w:name w:val="正文2"/>
    <w:basedOn w:val="712"/>
    <w:uiPriority w:val="0"/>
    <w:qFormat/>
    <w:pPr>
      <w:ind w:firstLine="510"/>
      <w:spacing w:before="156" w:line="360" w:lineRule="auto"/>
    </w:pPr>
    <w:rPr>
      <w:sz w:val="24"/>
    </w:rPr>
  </w:style>
  <w:style w:type="character" w:styleId="1073" w:customStyle="1">
    <w:name w:val="标题 3 字符1"/>
    <w:link w:val="1074"/>
    <w:uiPriority w:val="0"/>
    <w:qFormat/>
    <w:rPr>
      <w:b/>
      <w:sz w:val="32"/>
    </w:rPr>
  </w:style>
  <w:style w:type="paragraph" w:styleId="1074" w:customStyle="1">
    <w:name w:val="标题 31"/>
    <w:basedOn w:val="712"/>
    <w:next w:val="1075"/>
    <w:link w:val="1073"/>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075" w:customStyle="1">
    <w:name w:val="正文缩进1"/>
    <w:basedOn w:val="712"/>
    <w:uiPriority w:val="0"/>
    <w:qFormat/>
    <w:pPr>
      <w:ind w:firstLine="420"/>
    </w:pPr>
    <w:rPr>
      <w:sz w:val="20"/>
      <w:lang w:eastAsia="en-US"/>
    </w:rPr>
  </w:style>
  <w:style w:type="paragraph" w:styleId="1076" w:customStyle="1">
    <w:name w:val="列表段落1"/>
    <w:basedOn w:val="712"/>
    <w:uiPriority w:val="0"/>
    <w:qFormat/>
    <w:pPr>
      <w:ind w:firstLine="420"/>
      <w:jc w:val="left"/>
      <w:spacing w:line="360" w:lineRule="auto"/>
      <w:widowControl/>
    </w:pPr>
    <w:rPr>
      <w:rFonts w:asciiTheme="minorEastAsia" w:hAnsiTheme="minorEastAsia" w:eastAsiaTheme="minorEastAsia"/>
      <w:sz w:val="24"/>
      <w:szCs w:val="22"/>
    </w:rPr>
  </w:style>
  <w:style w:type="character" w:styleId="1077" w:customStyle="1">
    <w:name w:val="font81"/>
    <w:basedOn w:val="722"/>
    <w:uiPriority w:val="0"/>
    <w:qFormat/>
    <w:rPr>
      <w:rFonts w:hint="eastAsia" w:ascii="宋体" w:hAnsi="宋体" w:eastAsia="宋体" w:cs="宋体"/>
      <w:color w:val="000000"/>
      <w:sz w:val="20"/>
      <w:szCs w:val="20"/>
      <w:u w:val="none"/>
    </w:rPr>
  </w:style>
  <w:style w:type="character" w:styleId="1078" w:customStyle="1">
    <w:name w:val="font171"/>
    <w:uiPriority w:val="0"/>
    <w:qFormat/>
    <w:rPr>
      <w:rFonts w:hint="eastAsia" w:ascii="宋体" w:hAnsi="宋体" w:eastAsia="宋体" w:cs="宋体"/>
      <w:b/>
      <w:bCs/>
      <w:color w:val="ff0000"/>
      <w:sz w:val="20"/>
      <w:szCs w:val="20"/>
      <w:u w:val="none"/>
    </w:rPr>
  </w:style>
  <w:style w:type="character" w:styleId="1079" w:customStyle="1">
    <w:name w:val="无间隔 字符"/>
    <w:basedOn w:val="722"/>
    <w:link w:val="812"/>
    <w:uiPriority w:val="1"/>
    <w:qFormat/>
    <w:rPr>
      <w:sz w:val="21"/>
      <w:szCs w:val="21"/>
    </w:rPr>
  </w:style>
  <w:style w:type="paragraph" w:styleId="1080" w:customStyle="1">
    <w:name w:val="TOC 标题11"/>
    <w:uiPriority w:val="39"/>
    <w:unhideWhenUsed/>
    <w:qFormat/>
    <w:rPr>
      <w:rFonts w:hint="default" w:ascii="Times New Roman" w:hAnsi="Times New Roman" w:eastAsia="宋体" w:cs="Times New Roman"/>
      <w:lang w:val="en-US" w:eastAsia="zh-CN" w:bidi="ar-SA"/>
    </w:rPr>
  </w:style>
  <w:style w:type="character" w:styleId="1081" w:customStyle="1">
    <w:name w:val="已访问的超链接1"/>
    <w:uiPriority w:val="0"/>
    <w:qFormat/>
    <w:rPr>
      <w:color w:val="800080"/>
      <w:u w:val="single"/>
    </w:rPr>
  </w:style>
  <w:style w:type="paragraph" w:styleId="1082" w:customStyle="1">
    <w:name w:val="Char1"/>
    <w:basedOn w:val="728"/>
    <w:uiPriority w:val="0"/>
    <w:qFormat/>
    <w:rPr>
      <w:rFonts w:ascii="Tahoma" w:hAnsi="Tahoma"/>
      <w:sz w:val="24"/>
      <w:szCs w:val="24"/>
    </w:rPr>
  </w:style>
  <w:style w:type="paragraph" w:styleId="1083" w:customStyle="1">
    <w:name w:val="Char Char Char Char Char Char Char Char1"/>
    <w:basedOn w:val="712"/>
    <w:uiPriority w:val="0"/>
    <w:qFormat/>
    <w:pPr>
      <w:jc w:val="left"/>
      <w:spacing w:after="160" w:line="240" w:lineRule="exact"/>
      <w:widowControl/>
    </w:pPr>
    <w:rPr>
      <w:rFonts w:ascii="Verdana" w:hAnsi="Verdana"/>
      <w:sz w:val="20"/>
      <w:szCs w:val="20"/>
      <w:lang w:eastAsia="en-US"/>
    </w:rPr>
  </w:style>
  <w:style w:type="paragraph" w:styleId="1084" w:customStyle="1">
    <w:name w:val="Char Char Char Char1"/>
    <w:basedOn w:val="728"/>
    <w:uiPriority w:val="99"/>
    <w:qFormat/>
    <w:pPr>
      <w:spacing w:line="360" w:lineRule="auto"/>
    </w:pPr>
    <w:rPr>
      <w:rFonts w:ascii="Tahoma" w:hAnsi="Tahoma"/>
      <w:sz w:val="24"/>
      <w:szCs w:val="24"/>
    </w:rPr>
  </w:style>
  <w:style w:type="paragraph" w:styleId="10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86" w:customStyle="1">
    <w:name w:val="修订11"/>
    <w:uiPriority w:val="99"/>
    <w:semiHidden/>
    <w:qFormat/>
    <w:rPr>
      <w:rFonts w:hint="default" w:ascii="Times New Roman" w:hAnsi="Times New Roman" w:eastAsia="宋体" w:cs="Times New Roman"/>
      <w:sz w:val="21"/>
      <w:lang w:val="en-US" w:eastAsia="zh-CN" w:bidi="ar-SA"/>
    </w:rPr>
  </w:style>
  <w:style w:type="character" w:styleId="1087" w:customStyle="1">
    <w:name w:val="font112"/>
    <w:basedOn w:val="722"/>
    <w:uiPriority w:val="0"/>
    <w:qFormat/>
    <w:rPr>
      <w:rFonts w:ascii="Calibri" w:hAnsi="Calibri" w:cs="Calibri"/>
      <w:color w:val="000000"/>
      <w:sz w:val="22"/>
      <w:szCs w:val="22"/>
      <w:u w:val="none"/>
    </w:rPr>
  </w:style>
  <w:style w:type="character" w:styleId="1088" w:customStyle="1">
    <w:name w:val="font121"/>
    <w:basedOn w:val="722"/>
    <w:uiPriority w:val="0"/>
    <w:qFormat/>
    <w:rPr>
      <w:rFonts w:hint="default" w:ascii="Calibri" w:hAnsi="Calibri" w:cs="Calibri"/>
      <w:color w:val="ff0000"/>
      <w:sz w:val="22"/>
      <w:szCs w:val="22"/>
      <w:u w:val="none"/>
    </w:rPr>
  </w:style>
  <w:style w:type="character" w:styleId="1089" w:customStyle="1">
    <w:name w:val="font131"/>
    <w:basedOn w:val="722"/>
    <w:uiPriority w:val="0"/>
    <w:qFormat/>
    <w:rPr>
      <w:rFonts w:hint="eastAsia" w:ascii="宋体" w:hAnsi="宋体" w:eastAsia="宋体" w:cs="宋体"/>
      <w:color w:val="0070c0"/>
      <w:sz w:val="22"/>
      <w:szCs w:val="22"/>
      <w:u w:val="none"/>
    </w:rPr>
  </w:style>
  <w:style w:type="character" w:styleId="1090" w:customStyle="1">
    <w:name w:val="font141"/>
    <w:basedOn w:val="722"/>
    <w:uiPriority w:val="0"/>
    <w:qFormat/>
    <w:rPr>
      <w:rFonts w:hint="eastAsia" w:ascii="宋体" w:hAnsi="宋体" w:eastAsia="宋体" w:cs="宋体"/>
      <w:b/>
      <w:bCs/>
      <w:color w:val="ff0000"/>
      <w:sz w:val="22"/>
      <w:szCs w:val="22"/>
      <w:u w:val="none"/>
    </w:rPr>
  </w:style>
  <w:style w:type="character" w:styleId="1091" w:customStyle="1">
    <w:name w:val="font151"/>
    <w:basedOn w:val="722"/>
    <w:uiPriority w:val="0"/>
    <w:qFormat/>
    <w:rPr>
      <w:rFonts w:hint="default" w:ascii="Calibri" w:hAnsi="Calibri" w:cs="Calibri"/>
      <w:color w:val="000000"/>
      <w:sz w:val="22"/>
      <w:szCs w:val="22"/>
      <w:u w:val="none"/>
    </w:rPr>
  </w:style>
  <w:style w:type="character" w:styleId="1092" w:customStyle="1">
    <w:name w:val="font161"/>
    <w:basedOn w:val="722"/>
    <w:uiPriority w:val="0"/>
    <w:qFormat/>
    <w:rPr>
      <w:rFonts w:hint="default" w:ascii="Calibri" w:hAnsi="Calibri" w:cs="Calibri"/>
      <w:color w:val="000000"/>
      <w:sz w:val="22"/>
      <w:szCs w:val="22"/>
      <w:u w:val="none"/>
    </w:rPr>
  </w:style>
  <w:style w:type="character" w:styleId="1093" w:customStyle="1">
    <w:name w:val="font181"/>
    <w:basedOn w:val="722"/>
    <w:uiPriority w:val="0"/>
    <w:qFormat/>
    <w:rPr>
      <w:rFonts w:hint="default" w:ascii="Times New Roman" w:hAnsi="Times New Roman" w:cs="Times New Roman"/>
      <w:color w:val="ff0000"/>
      <w:sz w:val="22"/>
      <w:szCs w:val="22"/>
      <w:u w:val="none"/>
    </w:rPr>
  </w:style>
  <w:style w:type="paragraph" w:styleId="1094" w:customStyle="1">
    <w:name w:val="正文1"/>
    <w:basedOn w:val="712"/>
    <w:uiPriority w:val="0"/>
    <w:qFormat/>
    <w:pPr>
      <w:jc w:val="left"/>
      <w:spacing w:after="200" w:line="300" w:lineRule="atLeast"/>
      <w:widowControl/>
    </w:pPr>
    <w:rPr>
      <w:rFonts w:cs="宋体"/>
      <w:sz w:val="22"/>
    </w:rPr>
  </w:style>
  <w:style w:type="table" w:styleId="1095" w:customStyle="1">
    <w:name w:val="网格型1"/>
    <w:basedOn w:val="1096"/>
    <w:uiPriority w:val="0"/>
    <w:qFormat/>
    <w:pPr>
      <w:jc w:val="both"/>
      <w:widowControl w:val="off"/>
    </w:pPr>
    <w:tblPr/>
  </w:style>
  <w:style w:type="table" w:styleId="1096" w:customStyle="1">
    <w:name w:val="普通表格1"/>
    <w:uiPriority w:val="0"/>
    <w:semiHidden/>
    <w:qFormat/>
    <w:tblPr/>
  </w:style>
  <w:style w:type="paragraph" w:styleId="1097" w:customStyle="1">
    <w:name w:val="正文文本缩进 21"/>
    <w:basedOn w:val="712"/>
    <w:uiPriority w:val="0"/>
    <w:qFormat/>
    <w:pPr>
      <w:ind w:left="420"/>
      <w:spacing w:after="120" w:line="480" w:lineRule="auto"/>
    </w:pPr>
  </w:style>
  <w:style w:type="character" w:styleId="1098"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99" w:customStyle="1">
    <w:name w:val="HTML 打字机1"/>
    <w:uiPriority w:val="99"/>
    <w:qFormat/>
    <w:rPr>
      <w:rFonts w:ascii="宋体" w:hAnsi="宋体" w:eastAsia="宋体" w:cs="宋体"/>
      <w:sz w:val="24"/>
      <w:szCs w:val="24"/>
    </w:rPr>
  </w:style>
  <w:style w:type="character" w:styleId="1100" w:customStyle="1">
    <w:name w:val="标题 1 Char"/>
    <w:link w:val="713"/>
    <w:uiPriority w:val="0"/>
    <w:qFormat/>
    <w:rPr>
      <w:b/>
      <w:sz w:val="44"/>
    </w:rPr>
  </w:style>
  <w:style w:type="paragraph" w:styleId="1101" w:customStyle="1">
    <w:name w:val="标题 41"/>
    <w:basedOn w:val="712"/>
    <w:next w:val="1075"/>
    <w:uiPriority w:val="0"/>
    <w:qFormat/>
    <w:pPr>
      <w:keepLines/>
      <w:keepNext/>
      <w:spacing w:before="280" w:after="290" w:line="376" w:lineRule="auto"/>
      <w:outlineLvl w:val="3"/>
    </w:pPr>
    <w:rPr>
      <w:rFonts w:ascii="Arial" w:hAnsi="Arial" w:eastAsia="黑体"/>
      <w:b/>
      <w:bCs/>
      <w:sz w:val="28"/>
      <w:szCs w:val="28"/>
      <w:lang w:eastAsia="en-US"/>
    </w:rPr>
  </w:style>
  <w:style w:type="paragraph" w:styleId="110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1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53fa58d5-b9b4-4a95-bc3d-09dbbb05b00c</errorID>
      <errorWord>-</errorWord>
      <group>L1_Format</group>
      <groupName>格式问题</groupName>
      <ability>L2_HalfPunc_CN</ability>
      <abilityName>全半角问题</abilityName>
      <candidateList>
        <item>－</item>
      </candidateList>
      <explain>文本全半角错误。</explain>
      <paraID>2363DC1B</paraID>
      <start>82</start>
      <end>83</end>
      <status>unmodified</status>
      <modifiedWord/>
      <trackRevisions>false</trackRevisions>
    </reviewItem>
    <reviewItem>
      <errorID>7bd878a3-ad00-4c45-9491-99af68207afc</errorID>
      <errorWord>-</errorWord>
      <group>L1_Format</group>
      <groupName>格式问题</groupName>
      <ability>L2_HalfPunc_CN</ability>
      <abilityName>全半角问题</abilityName>
      <candidateList>
        <item>－</item>
      </candidateList>
      <explain>文本全半角错误。</explain>
      <paraID>2363DC1B</paraID>
      <start>83</start>
      <end>84</end>
      <status>unmodified</status>
      <modifiedWord/>
      <trackRevisions>false</trackRevisions>
    </reviewItem>
    <reviewItem>
      <errorID>28812a65-93c8-4607-a38e-b557af851c46</errorID>
      <errorWord>-</errorWord>
      <group>L1_Format</group>
      <groupName>格式问题</groupName>
      <ability>L2_HalfPunc_CN</ability>
      <abilityName>全半角问题</abilityName>
      <candidateList>
        <item>－</item>
      </candidateList>
      <explain>文本全半角错误。</explain>
      <paraID>2363DC1B</paraID>
      <start>89</start>
      <end>90</end>
      <status>unmodified</status>
      <modifiedWord/>
      <trackRevisions>false</trackRevisions>
    </reviewItem>
    <reviewItem>
      <errorID>d6195c5a-c99e-42bd-81df-dc665ff2b071</errorID>
      <errorWord>-</errorWord>
      <group>L1_Format</group>
      <groupName>格式问题</groupName>
      <ability>L2_HalfPunc_CN</ability>
      <abilityName>全半角问题</abilityName>
      <candidateList>
        <item>－</item>
      </candidateList>
      <explain>文本全半角错误。</explain>
      <paraID>2363DC1B</paraID>
      <start>90</start>
      <end>91</end>
      <status>unmodified</status>
      <modifiedWord/>
      <trackRevisions>false</trackRevisions>
    </reviewItem>
    <reviewItem>
      <errorID>3b277f2d-f31f-4c97-a302-0e8a14688158</errorID>
      <errorWord>做</errorWord>
      <group>L1_Word</group>
      <groupName>字词问题</groupName>
      <ability>L2_Typo</ability>
      <abilityName>字词错误</abilityName>
      <candidateList>
        <item>作</item>
      </candidateList>
      <explain>存在发音相同字词的误用。</explain>
      <paraID> F48F9FA</paraID>
      <start>70</start>
      <end>71</end>
      <status>unmodified</status>
      <modifiedWord/>
      <trackRevisions>false</trackRevisions>
    </reviewItem>
    <reviewItem>
      <errorID>03a14f7e-af79-410b-922b-ca946a581ff0</errorID>
      <errorWord>&lt;</errorWord>
      <group>L1_Format</group>
      <groupName>格式问题</groupName>
      <ability>L2_HalfPunc_CN</ability>
      <abilityName>全半角问题</abilityName>
      <candidateList>
        <item>〈</item>
      </candidateList>
      <explain>文本全半角错误。</explain>
      <paraID>4FDCE3CC</paraID>
      <start>49</start>
      <end>50</end>
      <status>unmodified</status>
      <modifiedWord/>
      <trackRevisions>false</trackRevisions>
    </reviewItem>
    <reviewItem>
      <errorID>4102bce0-0e3c-41fc-b1a3-97f97ae90a0d</errorID>
      <errorWord>&lt;</errorWord>
      <group>L1_Format</group>
      <groupName>格式问题</groupName>
      <ability>L2_HalfPunc_CN</ability>
      <abilityName>全半角问题</abilityName>
      <candidateList>
        <item>〈</item>
      </candidateList>
      <explain>文本全半角错误。</explain>
      <paraID>77C4C63C</paraID>
      <start>49</start>
      <end>50</end>
      <status>unmodified</status>
      <modifiedWord/>
      <trackRevisions>false</trackRevisions>
    </reviewItem>
    <reviewItem>
      <errorID>f631667e-c96c-4ef5-b808-c84ab0c1b69c</errorID>
      <errorWord>&lt;</errorWord>
      <group>L1_Format</group>
      <groupName>格式问题</groupName>
      <ability>L2_HalfPunc_CN</ability>
      <abilityName>全半角问题</abilityName>
      <candidateList>
        <item>〈</item>
      </candidateList>
      <explain>文本全半角错误。</explain>
      <paraID>28DA828F</paraID>
      <start>34</start>
      <end>35</end>
      <status>unmodified</status>
      <modifiedWord/>
      <trackRevisions>false</trackRevisions>
    </reviewItem>
    <reviewItem>
      <errorID>dee5f26f-a628-4320-acea-3ffafdd98780</errorID>
      <errorWord>国家发改委</errorWord>
      <group>L1_Knowledge</group>
      <groupName>知识性问题</groupName>
      <ability>L2_Knowledge</ability>
      <abilityName>其他知识</abilityName>
      <candidateList>
        <item>国家发展改革委</item>
      </candidateList>
      <explain/>
      <paraID>511C459B</paraID>
      <start>20</start>
      <end>25</end>
      <status>unmodified</status>
      <modifiedWord/>
      <trackRevisions>false</trackRevisions>
    </reviewItem>
    <reviewItem>
      <errorID>248c52f7-ea28-47b2-b7b6-da87078831ef</errorID>
      <errorWord>属</errorWord>
      <group>L1_Word</group>
      <groupName>字词问题</groupName>
      <ability>L2_Typo</ability>
      <abilityName>字词错误</abilityName>
      <candidateList>
        <item>属于</item>
      </candidateList>
      <explain/>
      <paraID>25CD81BE</paraID>
      <start>22</start>
      <end>23</end>
      <status>unmodified</status>
      <modifiedWord/>
      <trackRevisions>false</trackRevisions>
    </reviewItem>
    <reviewItem>
      <errorID>932ddf48-b6cd-4b5e-8041-f528546765b6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319A5C14</paraID>
      <start>99</start>
      <end>103</end>
      <status>unmodified</status>
      <modifiedWord/>
      <trackRevisions>false</trackRevisions>
    </reviewItem>
    <reviewItem>
      <errorID>dca75c02-3258-4aec-90bf-ffa10c8f3087</errorID>
      <errorWord>(</errorWord>
      <group>L1_Format</group>
      <groupName>格式问题</groupName>
      <ability>L2_HalfPunc_CN</ability>
      <abilityName>全半角问题</abilityName>
      <candidateList>
        <item>（</item>
      </candidateList>
      <explain>文本全半角错误。</explain>
      <paraID>1E731DDF</paraID>
      <start>128</start>
      <end>129</end>
      <status>unmodified</status>
      <modifiedWord/>
      <trackRevisions>false</trackRevisions>
    </reviewItem>
    <reviewItem>
      <errorID>d6f3fdbb-7275-4f22-b787-b6e0438c6bda</errorID>
      <errorWord>)</errorWord>
      <group>L1_Format</group>
      <groupName>格式问题</groupName>
      <ability>L2_HalfPunc_CN</ability>
      <abilityName>全半角问题</abilityName>
      <candidateList>
        <item>）</item>
      </candidateList>
      <explain>文本全半角错误。</explain>
      <paraID>1E731DDF</paraID>
      <start>138</start>
      <end>139</end>
      <status>unmodified</status>
      <modifiedWord/>
      <trackRevisions>false</trackRevisions>
    </reviewItem>
    <reviewItem>
      <errorID>0cd0ed4e-06ac-4ca1-a7f5-ec69180366da</errorID>
      <errorWord>上述的</errorWord>
      <group>L1_Word</group>
      <groupName>字词问题</groupName>
      <ability>L2_Typo</ability>
      <abilityName>字词错误</abilityName>
      <candidateList>
        <item>上述</item>
      </candidateList>
      <explain>〈形〉属性词。上面所说的：～各条，望切实执行。</explain>
      <paraID>32FE7292</paraID>
      <start>4</start>
      <end>7</end>
      <status>unmodified</status>
      <modifiedWord/>
      <trackRevisions>false</trackRevisions>
    </reviewItem>
    <reviewItem>
      <errorID>3157f251-ad3b-4568-acc7-ce0c9699126d</errorID>
      <errorWord>折</errorWord>
      <group>L1_Word</group>
      <groupName>字词问题</groupName>
      <ability>L2_Typo</ability>
      <abilityName>字词错误</abilityName>
      <candidateList>
        <item/>
      </candidateList>
      <explain/>
      <paraID>32FE7292</paraID>
      <start>78</start>
      <end>79</end>
      <status>unmodified</status>
      <modifiedWord/>
      <trackRevisions>false</trackRevisions>
    </reviewItem>
    <reviewItem>
      <errorID>2353f18f-67de-4aa3-845d-8c8d5c523ba4</errorID>
      <errorWord>.</errorWord>
      <group>L1_Format</group>
      <groupName>格式问题</groupName>
      <ability>L2_HalfPunc_CN</ability>
      <abilityName>全半角问题</abilityName>
      <candidateList>
        <item>。</item>
      </candidateList>
      <explain>文本全半角错误。</explain>
      <paraID>32FE7292</paraID>
      <start>93</start>
      <end>94</end>
      <status>unmodified</status>
      <modifiedWord/>
      <trackRevisions>false</trackRevisions>
    </reviewItem>
    <reviewItem>
      <errorID>53bd9dc2-46eb-4dfb-a5f6-bef17bb4c70c</errorID>
      <errorWord>》</errorWord>
      <group>L1_Word</group>
      <groupName>字词问题</groupName>
      <ability>L2_Typo</ability>
      <abilityName>字词错误</abilityName>
      <candidateList>
        <item>》等</item>
      </candidateList>
      <explain/>
      <paraID>2967F0DC</paraID>
      <start>39</start>
      <end>40</end>
      <status>unmodified</status>
      <modifiedWord/>
      <trackRevisions>false</trackRevisions>
    </reviewItem>
    <reviewItem>
      <errorID>647411c1-882c-4532-af6a-a736c5bb1588</errorID>
      <errorWord>应</errorWord>
      <group>L1_Word</group>
      <groupName>字词问题</groupName>
      <ability>L2_Typo</ability>
      <abilityName>字词错误</abilityName>
      <candidateList>
        <item>应当</item>
      </candidateList>
      <explain/>
      <paraID>6FDB717C</paraID>
      <start>70</start>
      <end>71</end>
      <status>unmodified</status>
      <modifiedWord/>
      <trackRevisions>false</trackRevisions>
    </reviewItem>
    <reviewItem>
      <errorID>32991119-401f-4ebc-abcf-1fd1eefea293</errorID>
      <errorWord>一式贰份，甲乙双方</errorWord>
      <group>L1_Word</group>
      <groupName>字词问题</groupName>
      <ability>L2_Typo</ability>
      <abilityName>字词错误</abilityName>
      <candidateList>
        <item>一式两份，甲乙双方</item>
      </candidateList>
      <explain/>
      <paraID> 293FCED</paraID>
      <start>6</start>
      <end>15</end>
      <status>unmodified</status>
      <modifiedWord/>
      <trackRevisions>false</trackRevisions>
    </reviewItem>
    <reviewItem>
      <errorID>5e48d471-79eb-43dd-83e9-ae73ca91b766</errorID>
      <errorWord>（</errorWord>
      <group>L1_Punc</group>
      <groupName>标点问题</groupName>
      <ability>L2_Punc_CN</ability>
      <abilityName>标点符号问题</abilityName>
      <candidateList/>
      <explain>同一形式括号套用。</explain>
      <paraID>26E75A55</paraID>
      <start>160</start>
      <end>161</end>
      <status>unmodified</status>
      <modifiedWord/>
      <trackRevisions>false</trackRevisions>
    </reviewItem>
    <reviewItem>
      <errorID>1dc8e9d9-5736-4538-b684-8bcd9ce904bc</errorID>
      <errorWord>）</errorWord>
      <group>L1_Punc</group>
      <groupName>标点问题</groupName>
      <ability>L2_Punc_CN</ability>
      <abilityName>标点符号问题</abilityName>
      <candidateList/>
      <explain>同一形式括号套用。</explain>
      <paraID>26E75A55</paraID>
      <start>172</start>
      <end>173</end>
      <status>unmodified</status>
      <modifiedWord/>
      <trackRevisions>false</trackRevisions>
    </reviewItem>
    <reviewItem>
      <errorID>a6893757-486f-4615-a7d8-f09e3171f156</errorID>
      <errorWord>（</errorWord>
      <group>L1_Punc</group>
      <groupName>标点问题</groupName>
      <ability>L2_Punc_CN</ability>
      <abilityName>标点符号问题</abilityName>
      <candidateList/>
      <explain>同一形式括号套用。</explain>
      <paraID>2185F418</paraID>
      <start>25</start>
      <end>26</end>
      <status>unmodified</status>
      <modifiedWord/>
      <trackRevisions>false</trackRevisions>
    </reviewItem>
    <reviewItem>
      <errorID>06d2d222-8244-47a0-8e5a-21d76141cecf</errorID>
      <errorWord>）</errorWord>
      <group>L1_Punc</group>
      <groupName>标点问题</groupName>
      <ability>L2_Punc_CN</ability>
      <abilityName>标点符号问题</abilityName>
      <candidateList/>
      <explain>同一形式括号套用。</explain>
      <paraID>2185F418</paraID>
      <start>30</start>
      <end>31</end>
      <status>unmodified</status>
      <modifiedWord/>
      <trackRevisions>false</trackRevisions>
    </reviewItem>
    <reviewItem>
      <errorID>d57b4a85-11e8-4b2d-83c2-85d908473d82</errorID>
      <errorWord>（</errorWord>
      <group>L1_Punc</group>
      <groupName>标点问题</groupName>
      <ability>L2_Punc_CN</ability>
      <abilityName>标点符号问题</abilityName>
      <candidateList/>
      <explain>同一形式括号套用。</explain>
      <paraID>7A644313</paraID>
      <start>28</start>
      <end>29</end>
      <status>unmodified</status>
      <modifiedWord/>
      <trackRevisions>false</trackRevisions>
    </reviewItem>
    <reviewItem>
      <errorID>07559c6b-bab0-4f15-805e-7bc4855fb1eb</errorID>
      <errorWord>）</errorWord>
      <group>L1_Punc</group>
      <groupName>标点问题</groupName>
      <ability>L2_Punc_CN</ability>
      <abilityName>标点符号问题</abilityName>
      <candidateList/>
      <explain>同一形式括号套用。</explain>
      <paraID>7A644313</paraID>
      <start>33</start>
      <end>34</end>
      <status>unmodified</status>
      <modifiedWord/>
      <trackRevisions>false</trackRevisions>
    </reviewItem>
    <reviewItem>
      <errorID>e343197e-13c2-415e-90f2-38126b19e2eb</errorID>
      <errorWord>（</errorWord>
      <group>L1_Punc</group>
      <groupName>标点问题</groupName>
      <ability>L2_Punc_CN</ability>
      <abilityName>标点符号问题</abilityName>
      <candidateList/>
      <explain>同一形式括号套用。</explain>
      <paraID>237CD504</paraID>
      <start>25</start>
      <end>26</end>
      <status>unmodified</status>
      <modifiedWord/>
      <trackRevisions>false</trackRevisions>
    </reviewItem>
    <reviewItem>
      <errorID>e913711f-3bba-409c-95c9-113e36c5707c</errorID>
      <errorWord>）</errorWord>
      <group>L1_Punc</group>
      <groupName>标点问题</groupName>
      <ability>L2_Punc_CN</ability>
      <abilityName>标点符号问题</abilityName>
      <candidateList/>
      <explain>同一形式括号套用。</explain>
      <paraID>237CD504</paraID>
      <start>30</start>
      <end>31</end>
      <status>unmodified</status>
      <modifiedWord/>
      <trackRevisions>false</trackRevisions>
    </reviewItem>
    <reviewItem>
      <errorID>0b292b0e-06af-47c9-bd4f-38c63822088d</errorID>
      <errorWord>贴</errorWord>
      <group>L1_Word</group>
      <groupName>字词问题</groupName>
      <ability>L2_Typo</ability>
      <abilityName>字词错误</abilityName>
      <candidateList>
        <item>贴在</item>
      </candidateList>
      <explain/>
      <paraID> F5B93AE</paraID>
      <start>107</start>
      <end>108</end>
      <status>unmodified</status>
      <modifiedWord/>
      <trackRevisions>false</trackRevisions>
    </reviewItem>
    <reviewItem>
      <errorID>2ca9d2c4-e072-4624-94af-797f4b5fe989</errorID>
      <errorWord>(</errorWord>
      <group>L1_Format</group>
      <groupName>格式问题</groupName>
      <ability>L2_HalfPunc_CN</ability>
      <abilityName>全半角问题</abilityName>
      <candidateList>
        <item>（</item>
      </candidateList>
      <explain>文本全半角错误。</explain>
      <paraID>72849729</paraID>
      <start>135</start>
      <end>136</end>
      <status>unmodified</status>
      <modifiedWord/>
      <trackRevisions>false</trackRevisions>
    </reviewItem>
    <reviewItem>
      <errorID>5b556c14-d0f6-4220-bf71-bd07f4ab4734</errorID>
      <errorWord>)</errorWord>
      <group>L1_Format</group>
      <groupName>格式问题</groupName>
      <ability>L2_HalfPunc_CN</ability>
      <abilityName>全半角问题</abilityName>
      <candidateList>
        <item>）</item>
      </candidateList>
      <explain>文本全半角错误。</explain>
      <paraID>72849729</paraID>
      <start>145</start>
      <end>146</end>
      <status>unmodified</status>
      <modifiedWord/>
      <trackRevisions>false</trackRevisions>
    </reviewItem>
    <reviewItem>
      <errorID>7d4aa652-b351-4887-a2dd-c9da47df3a16</errorID>
      <errorWord>，</errorWord>
      <group>L1_Word</group>
      <groupName>字词问题</groupName>
      <ability>L2_Typo</ability>
      <abilityName>字词错误</abilityName>
      <candidateList>
        <item>，在</item>
      </candidateList>
      <explain/>
      <paraID> BC8355A</paraID>
      <start>90</start>
      <end>91</end>
      <status>unmodified</status>
      <modifiedWord/>
      <trackRevisions>false</trackRevisions>
    </reviewItem>
    <reviewItem>
      <errorID>ccb692ee-eb72-4a5b-a8d0-103448becfba</errorID>
      <errorWord>,</errorWord>
      <group>L1_Format</group>
      <groupName>格式问题</groupName>
      <ability>L2_HalfPunc_CN</ability>
      <abilityName>全半角问题</abilityName>
      <candidateList>
        <item>，</item>
      </candidateList>
      <explain>文本全半角错误。</explain>
      <paraID> 8356ECA</paraID>
      <start>23</start>
      <end>24</end>
      <status>unmodified</status>
      <modifiedWord/>
      <trackRevisions>false</trackRevisions>
    </reviewItem>
    <reviewItem>
      <errorID>1cba88c4-7cd2-4ab3-816e-61633bf1ddb6</errorID>
      <errorWord>（</errorWord>
      <group>L1_Punc</group>
      <groupName>标点问题</groupName>
      <ability>L2_Punc_CN</ability>
      <abilityName>标点符号问题</abilityName>
      <candidateList/>
      <explain>同一形式括号套用。</explain>
      <paraID>2DCC1BD2</paraID>
      <start>57</start>
      <end>58</end>
      <status>unmodified</status>
      <modifiedWord/>
      <trackRevisions>false</trackRevisions>
    </reviewItem>
    <reviewItem>
      <errorID>f9413ef6-26aa-432c-b66d-b28e81634fd4</errorID>
      <errorWord>）</errorWord>
      <group>L1_Punc</group>
      <groupName>标点问题</groupName>
      <ability>L2_Punc_CN</ability>
      <abilityName>标点符号问题</abilityName>
      <candidateList/>
      <explain>同一形式括号套用。</explain>
      <paraID>2DCC1BD2</paraID>
      <start>69</start>
      <end>70</end>
      <status>unmodified</status>
      <modifiedWord/>
      <trackRevisions>false</trackRevisions>
    </reviewItem>
    <reviewItem>
      <errorID>11173b09-1c47-45c1-ac01-9f370597836e</errorID>
      <errorWord>获取得</errorWord>
      <group>L1_Word</group>
      <groupName>字词问题</groupName>
      <ability>L2_Typo</ability>
      <abilityName>字词错误</abilityName>
      <candidateList>
        <item>获取</item>
      </candidateList>
      <explain/>
      <paraID>316ADC3F</paraID>
      <start>28</start>
      <end>31</end>
      <status>unmodified</status>
      <modifiedWord/>
      <trackRevisions>false</trackRevisions>
    </reviewItem>
    <reviewItem>
      <errorID>dc67ee56-1a5d-44e7-8748-c0481817e1c0</errorID>
      <errorWord>，</errorWord>
      <group>L1_Word</group>
      <groupName>字词问题</groupName>
      <ability>L2_Typo</ability>
      <abilityName>字词错误</abilityName>
      <candidateList>
        <item>，以</item>
      </candidateList>
      <explain/>
      <paraID>25E71E81</paraID>
      <start>85</start>
      <end>86</end>
      <status>unmodified</status>
      <modifiedWord/>
      <trackRevisions>false</trackRevisions>
    </reviewItem>
    <reviewItem>
      <errorID>e72aa4dd-ec3f-4ca4-8e5d-4c9c7aaed37c</errorID>
      <errorWord>）</errorWord>
      <group>L1_Word</group>
      <groupName>字词问题</groupName>
      <ability>L2_Typo</ability>
      <abilityName>字词错误</abilityName>
      <candidateList>
        <item>）在</item>
      </candidateList>
      <explain/>
      <paraID>1AC5EB1A</paraID>
      <start>8</start>
      <end>9</end>
      <status>unmodified</status>
      <modifiedWord/>
      <trackRevisions>false</trackRevisions>
    </reviewItem>
    <reviewItem>
      <errorID>56c8eaf5-0e2f-4482-8563-7839ca4ba731</errorID>
      <errorWord>）</errorWord>
      <group>L1_Word</group>
      <groupName>字词问题</groupName>
      <ability>L2_Typo</ability>
      <abilityName>字词错误</abilityName>
      <candidateList>
        <item>）是</item>
      </candidateList>
      <explain/>
      <paraID> DADED14</paraID>
      <start>8</start>
      <end>9</end>
      <status>unmodified</status>
      <modifiedWord/>
      <trackRevisions>false</trackRevisions>
    </reviewItem>
    <reviewItem>
      <errorID>a63ca486-f55b-46d4-90fa-7078de4b9d0a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15FA9EB1</paraID>
      <start>0</start>
      <end>2</end>
      <status>unmodified</status>
      <modifiedWord/>
      <trackRevisions>false</trackRevisions>
    </reviewItem>
    <reviewItem>
      <errorID>93410f20-9412-4594-a956-8efabcfd4c16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74F10F92</paraID>
      <start>0</start>
      <end>2</end>
      <status>unmodified</status>
      <modifiedWord/>
      <trackRevisions>false</trackRevisions>
    </reviewItem>
    <reviewItem>
      <errorID>85a88f89-6290-4356-8109-7c1a02a294e4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C62C68A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E4AE414-1109-4CBD-94E3-B72A2D56E29A}"/>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孙骁立</cp:lastModifiedBy>
  <cp:revision>30</cp:revision>
  <dcterms:created xsi:type="dcterms:W3CDTF">2024-10-16T11:27:00Z</dcterms:created>
  <dcterms:modified xsi:type="dcterms:W3CDTF">2026-06-26T06:28:00Z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86DEB781F0E44A658110A993A9C74338_13</vt:lpwstr>
  </property>
  <property fmtid="{D5CDD505-2E9C-101B-9397-08002B2CF9AE}" pid="4" name="KSOTemplateDocerSaveRecord">
    <vt:lpwstr>eyJoZGlkIjoiYWEwNDBkZDVjMDI2NzVhN2Q2ZjdkYzk3NDg0ZWQ4YWQiLCJ1c2VySWQiOiI1Mzk3NjA2MDAifQ==</vt:lpwstr>
  </property>
</Properties>
</file>